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0" w:name="_GoBack"/>
      <w:bookmarkEnd w:id="0"/>
    </w:p>
    <w:p>
      <w:pPr>
        <w:spacing w:afterLines="15"/>
        <w:rPr>
          <w:rFonts w:eastAsia="微软简标宋"/>
          <w:spacing w:val="12"/>
          <w:w w:val="99"/>
          <w:sz w:val="44"/>
        </w:rPr>
      </w:pPr>
    </w:p>
    <w:p>
      <w:pPr>
        <w:spacing w:afterLines="15"/>
        <w:jc w:val="center"/>
        <w:rPr>
          <w:rFonts w:eastAsia="微软简标宋"/>
          <w:spacing w:val="12"/>
          <w:w w:val="99"/>
          <w:sz w:val="44"/>
        </w:rPr>
      </w:pPr>
      <w:r>
        <w:rPr>
          <w:rFonts w:hint="eastAsia" w:eastAsia="微软简标宋"/>
          <w:spacing w:val="52"/>
          <w:w w:val="99"/>
          <w:sz w:val="52"/>
        </w:rPr>
        <w:t>东莞市工业旅游示范点(区)</w:t>
      </w:r>
    </w:p>
    <w:p>
      <w:pPr>
        <w:spacing w:afterLines="15"/>
        <w:jc w:val="center"/>
        <w:rPr>
          <w:rFonts w:eastAsia="微软简标宋"/>
          <w:spacing w:val="52"/>
          <w:w w:val="99"/>
          <w:sz w:val="52"/>
        </w:rPr>
      </w:pPr>
      <w:r>
        <w:rPr>
          <w:rFonts w:hint="eastAsia" w:eastAsia="微软简标宋"/>
          <w:spacing w:val="52"/>
          <w:w w:val="99"/>
          <w:sz w:val="52"/>
        </w:rPr>
        <w:t>申请报告书</w:t>
      </w:r>
    </w:p>
    <w:p>
      <w:pPr>
        <w:spacing w:afterLines="15"/>
        <w:jc w:val="center"/>
        <w:rPr>
          <w:rFonts w:ascii="仿宋_GB2312" w:eastAsia="仿宋_GB2312"/>
          <w:spacing w:val="52"/>
          <w:w w:val="99"/>
          <w:sz w:val="32"/>
          <w:szCs w:val="32"/>
        </w:rPr>
      </w:pPr>
      <w:r>
        <w:rPr>
          <w:rFonts w:hint="eastAsia" w:ascii="仿宋_GB2312" w:eastAsia="仿宋_GB2312"/>
          <w:spacing w:val="52"/>
          <w:w w:val="99"/>
          <w:sz w:val="32"/>
          <w:szCs w:val="32"/>
        </w:rPr>
        <w:t>（征求意见稿）</w:t>
      </w:r>
    </w:p>
    <w:p>
      <w:pPr>
        <w:spacing w:afterLines="15"/>
        <w:rPr>
          <w:rFonts w:eastAsia="微软简标宋"/>
          <w:spacing w:val="52"/>
          <w:w w:val="99"/>
          <w:sz w:val="52"/>
        </w:rPr>
      </w:pPr>
    </w:p>
    <w:p>
      <w:pPr>
        <w:spacing w:afterLines="15"/>
        <w:rPr>
          <w:rFonts w:eastAsia="微软简标宋"/>
          <w:spacing w:val="52"/>
          <w:w w:val="99"/>
          <w:sz w:val="52"/>
        </w:rPr>
      </w:pPr>
    </w:p>
    <w:p>
      <w:pPr>
        <w:spacing w:afterLines="15"/>
        <w:rPr>
          <w:rFonts w:eastAsia="微软简标宋"/>
          <w:spacing w:val="52"/>
          <w:w w:val="99"/>
          <w:sz w:val="52"/>
        </w:rPr>
      </w:pPr>
    </w:p>
    <w:p>
      <w:pPr>
        <w:spacing w:line="324" w:lineRule="auto"/>
        <w:ind w:left="1260" w:leftChars="600"/>
        <w:rPr>
          <w:rFonts w:ascii="仿宋_GB2312" w:eastAsia="仿宋_GB2312"/>
          <w:b/>
          <w:spacing w:val="4"/>
          <w:w w:val="99"/>
          <w:sz w:val="32"/>
          <w:u w:val="single"/>
        </w:rPr>
      </w:pPr>
      <w:r>
        <w:rPr>
          <w:rFonts w:hint="eastAsia" w:ascii="仿宋_GB2312" w:eastAsia="仿宋_GB2312"/>
          <w:b/>
          <w:spacing w:val="4"/>
          <w:w w:val="99"/>
          <w:sz w:val="32"/>
        </w:rPr>
        <w:t>申报单位:</w:t>
      </w:r>
      <w:r>
        <w:rPr>
          <w:rFonts w:hint="eastAsia" w:ascii="仿宋_GB2312" w:eastAsia="仿宋_GB2312"/>
          <w:b/>
          <w:spacing w:val="4"/>
          <w:w w:val="99"/>
          <w:sz w:val="32"/>
          <w:u w:val="single"/>
        </w:rPr>
        <w:t xml:space="preserve">                           </w:t>
      </w:r>
    </w:p>
    <w:p>
      <w:pPr>
        <w:spacing w:line="324" w:lineRule="auto"/>
        <w:ind w:left="1260" w:leftChars="600"/>
        <w:rPr>
          <w:rFonts w:ascii="仿宋_GB2312" w:eastAsia="仿宋_GB2312"/>
          <w:spacing w:val="4"/>
          <w:w w:val="99"/>
          <w:sz w:val="32"/>
          <w:u w:val="single"/>
        </w:rPr>
      </w:pPr>
      <w:r>
        <w:rPr>
          <w:rFonts w:hint="eastAsia" w:ascii="仿宋_GB2312" w:eastAsia="仿宋_GB2312"/>
          <w:b/>
          <w:spacing w:val="4"/>
          <w:w w:val="99"/>
          <w:sz w:val="32"/>
        </w:rPr>
        <w:t>推荐单位:</w:t>
      </w:r>
      <w:r>
        <w:rPr>
          <w:rFonts w:hint="eastAsia" w:ascii="仿宋_GB2312" w:eastAsia="仿宋_GB2312"/>
          <w:spacing w:val="4"/>
          <w:w w:val="99"/>
          <w:sz w:val="32"/>
          <w:u w:val="single"/>
        </w:rPr>
        <w:t xml:space="preserve">                           </w:t>
      </w:r>
    </w:p>
    <w:p>
      <w:pPr>
        <w:spacing w:afterLines="15"/>
        <w:rPr>
          <w:rFonts w:ascii="仿宋_GB2312" w:eastAsia="仿宋_GB2312"/>
          <w:spacing w:val="4"/>
          <w:w w:val="99"/>
          <w:sz w:val="32"/>
        </w:rPr>
      </w:pPr>
    </w:p>
    <w:p>
      <w:pPr>
        <w:spacing w:afterLines="15"/>
        <w:rPr>
          <w:rFonts w:ascii="仿宋_GB2312" w:eastAsia="仿宋_GB2312"/>
          <w:spacing w:val="4"/>
          <w:w w:val="99"/>
          <w:sz w:val="32"/>
        </w:rPr>
      </w:pPr>
    </w:p>
    <w:p>
      <w:pPr>
        <w:spacing w:afterLines="15"/>
        <w:rPr>
          <w:rFonts w:ascii="仿宋_GB2312" w:eastAsia="仿宋_GB2312"/>
          <w:spacing w:val="4"/>
          <w:w w:val="99"/>
          <w:sz w:val="32"/>
        </w:rPr>
      </w:pPr>
    </w:p>
    <w:p>
      <w:pPr>
        <w:spacing w:afterLines="15"/>
        <w:rPr>
          <w:rFonts w:ascii="仿宋_GB2312" w:eastAsia="仿宋_GB2312"/>
          <w:spacing w:val="4"/>
          <w:w w:val="99"/>
          <w:sz w:val="32"/>
        </w:rPr>
      </w:pPr>
    </w:p>
    <w:p>
      <w:pPr>
        <w:spacing w:afterLines="15"/>
        <w:jc w:val="center"/>
        <w:rPr>
          <w:rFonts w:ascii="仿宋_GB2312" w:eastAsia="仿宋_GB2312"/>
          <w:b/>
          <w:spacing w:val="4"/>
          <w:w w:val="99"/>
          <w:sz w:val="32"/>
        </w:rPr>
      </w:pPr>
      <w:r>
        <w:rPr>
          <w:rFonts w:hint="eastAsia" w:ascii="仿宋_GB2312" w:eastAsia="仿宋_GB2312"/>
          <w:b/>
          <w:spacing w:val="4"/>
          <w:w w:val="99"/>
          <w:sz w:val="32"/>
        </w:rPr>
        <w:t>东莞市文化广电旅游体育局编制</w:t>
      </w:r>
    </w:p>
    <w:p>
      <w:pPr>
        <w:spacing w:afterLines="15"/>
        <w:rPr>
          <w:sz w:val="32"/>
        </w:rPr>
      </w:pPr>
    </w:p>
    <w:p>
      <w:pPr>
        <w:spacing w:afterLines="15"/>
        <w:rPr>
          <w:sz w:val="32"/>
        </w:rPr>
      </w:pPr>
    </w:p>
    <w:p>
      <w:pPr>
        <w:spacing w:afterLines="15"/>
        <w:rPr>
          <w:sz w:val="32"/>
        </w:rPr>
      </w:pPr>
    </w:p>
    <w:p>
      <w:pPr>
        <w:spacing w:afterLines="15"/>
        <w:rPr>
          <w:sz w:val="32"/>
        </w:rPr>
      </w:pPr>
    </w:p>
    <w:p>
      <w:pPr>
        <w:spacing w:afterLines="15"/>
        <w:rPr>
          <w:sz w:val="32"/>
        </w:rPr>
      </w:pPr>
    </w:p>
    <w:p>
      <w:pPr>
        <w:spacing w:afterLines="15"/>
        <w:rPr>
          <w:rFonts w:ascii="黑体" w:hAnsi="黑体" w:eastAsia="黑体"/>
          <w:sz w:val="32"/>
        </w:rPr>
      </w:pPr>
      <w:r>
        <w:rPr>
          <w:rFonts w:hint="eastAsia" w:ascii="黑体" w:hAnsi="黑体" w:eastAsia="黑体"/>
          <w:sz w:val="32"/>
        </w:rPr>
        <w:t>一、申报单位情况</w:t>
      </w:r>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559"/>
        <w:gridCol w:w="2268"/>
        <w:gridCol w:w="567"/>
        <w:gridCol w:w="15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申报单位</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负责人</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单位性质</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国有 □    民营 □    外资 □</w:t>
            </w:r>
          </w:p>
          <w:p>
            <w:pPr>
              <w:spacing w:afterLines="5" w:line="360" w:lineRule="exact"/>
              <w:jc w:val="center"/>
              <w:rPr>
                <w:sz w:val="24"/>
              </w:rPr>
            </w:pPr>
            <w:r>
              <w:rPr>
                <w:rFonts w:hint="eastAsia"/>
                <w:sz w:val="24"/>
              </w:rPr>
              <w:t>中外合资 □    事业单位 □</w:t>
            </w:r>
          </w:p>
        </w:tc>
        <w:tc>
          <w:tcPr>
            <w:tcW w:w="1560"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主管部门</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76" w:type="dxa"/>
            <w:vMerge w:val="restart"/>
            <w:tcBorders>
              <w:top w:val="single" w:color="auto" w:sz="4" w:space="0"/>
              <w:left w:val="single" w:color="auto" w:sz="4" w:space="0"/>
              <w:right w:val="single" w:color="auto" w:sz="4" w:space="0"/>
            </w:tcBorders>
            <w:vAlign w:val="center"/>
          </w:tcPr>
          <w:p>
            <w:pPr>
              <w:spacing w:afterLines="5" w:line="360" w:lineRule="exact"/>
              <w:jc w:val="center"/>
              <w:rPr>
                <w:sz w:val="24"/>
              </w:rPr>
            </w:pPr>
            <w:r>
              <w:rPr>
                <w:rFonts w:hint="eastAsia"/>
                <w:sz w:val="24"/>
              </w:rPr>
              <w:t>通讯地址</w:t>
            </w:r>
          </w:p>
        </w:tc>
        <w:tc>
          <w:tcPr>
            <w:tcW w:w="4394" w:type="dxa"/>
            <w:gridSpan w:val="3"/>
            <w:vMerge w:val="restart"/>
            <w:tcBorders>
              <w:top w:val="single" w:color="auto" w:sz="4" w:space="0"/>
              <w:left w:val="single" w:color="auto" w:sz="4" w:space="0"/>
              <w:right w:val="single" w:color="auto" w:sz="4" w:space="0"/>
            </w:tcBorders>
            <w:vAlign w:val="center"/>
          </w:tcPr>
          <w:p>
            <w:pPr>
              <w:spacing w:afterLines="5" w:line="360" w:lineRule="exact"/>
              <w:jc w:val="center"/>
              <w:rPr>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联系人</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76" w:type="dxa"/>
            <w:vMerge w:val="continue"/>
            <w:tcBorders>
              <w:left w:val="single" w:color="auto" w:sz="4" w:space="0"/>
              <w:bottom w:val="single" w:color="auto" w:sz="4" w:space="0"/>
              <w:right w:val="single" w:color="auto" w:sz="4" w:space="0"/>
            </w:tcBorders>
            <w:vAlign w:val="center"/>
          </w:tcPr>
          <w:p>
            <w:pPr>
              <w:spacing w:afterLines="5" w:line="360" w:lineRule="exact"/>
              <w:jc w:val="center"/>
              <w:rPr>
                <w:sz w:val="24"/>
              </w:rPr>
            </w:pPr>
          </w:p>
        </w:tc>
        <w:tc>
          <w:tcPr>
            <w:tcW w:w="4394" w:type="dxa"/>
            <w:gridSpan w:val="3"/>
            <w:vMerge w:val="continue"/>
            <w:tcBorders>
              <w:left w:val="single" w:color="auto" w:sz="4" w:space="0"/>
              <w:bottom w:val="single" w:color="auto" w:sz="4" w:space="0"/>
              <w:right w:val="single" w:color="auto" w:sz="4" w:space="0"/>
            </w:tcBorders>
            <w:vAlign w:val="center"/>
          </w:tcPr>
          <w:p>
            <w:pPr>
              <w:spacing w:afterLines="5" w:line="360" w:lineRule="exact"/>
              <w:jc w:val="center"/>
              <w:rPr>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联系电话</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restart"/>
            <w:tcBorders>
              <w:top w:val="single" w:color="auto" w:sz="4" w:space="0"/>
              <w:left w:val="single" w:color="auto" w:sz="4" w:space="0"/>
              <w:right w:val="single" w:color="auto" w:sz="4" w:space="0"/>
            </w:tcBorders>
            <w:vAlign w:val="center"/>
          </w:tcPr>
          <w:p>
            <w:pPr>
              <w:spacing w:afterLines="5" w:line="360" w:lineRule="exact"/>
              <w:jc w:val="center"/>
              <w:rPr>
                <w:sz w:val="24"/>
              </w:rPr>
            </w:pPr>
            <w:r>
              <w:rPr>
                <w:rFonts w:hint="eastAsia"/>
                <w:sz w:val="24"/>
              </w:rPr>
              <w:t>基本情况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总投资（万元）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年营业额（万元）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年利润（万元）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员工总人数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管理人员人数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从事旅游接待人数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依托城镇</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beforeLines="15" w:line="240" w:lineRule="exact"/>
              <w:jc w:val="center"/>
              <w:rPr>
                <w:sz w:val="18"/>
                <w:szCs w:val="21"/>
              </w:rPr>
            </w:pPr>
            <w:r>
              <w:rPr>
                <w:rFonts w:hint="eastAsia"/>
                <w:szCs w:val="21"/>
              </w:rPr>
              <w:t>依托火车站、汽车站名称与距离</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单日可接待</w:t>
            </w:r>
          </w:p>
          <w:p>
            <w:pPr>
              <w:spacing w:afterLines="5" w:line="360" w:lineRule="exact"/>
              <w:jc w:val="center"/>
              <w:rPr>
                <w:szCs w:val="21"/>
              </w:rPr>
            </w:pPr>
            <w:r>
              <w:rPr>
                <w:rFonts w:hint="eastAsia"/>
                <w:szCs w:val="21"/>
              </w:rPr>
              <w:t>游客人数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年均接待游客人数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门票价格（元）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年均旅游接待利润</w:t>
            </w:r>
          </w:p>
          <w:p>
            <w:pPr>
              <w:spacing w:afterLines="5" w:line="360" w:lineRule="exact"/>
              <w:jc w:val="center"/>
              <w:rPr>
                <w:szCs w:val="21"/>
              </w:rPr>
            </w:pPr>
            <w:r>
              <w:rPr>
                <w:rFonts w:hint="eastAsia"/>
                <w:szCs w:val="21"/>
              </w:rPr>
              <w:t>（万元）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276" w:type="dxa"/>
            <w:tcBorders>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Cs w:val="21"/>
              </w:rPr>
              <w:t>申报详细范围与面积（需附图说明）</w:t>
            </w:r>
          </w:p>
        </w:tc>
        <w:tc>
          <w:tcPr>
            <w:tcW w:w="8222" w:type="dxa"/>
            <w:gridSpan w:val="5"/>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4"/>
              </w:rPr>
            </w:pPr>
            <w:r>
              <w:rPr>
                <w:rFonts w:hint="eastAsia"/>
                <w:sz w:val="24"/>
              </w:rPr>
              <w:t>旅游资源概况及活动项目</w:t>
            </w:r>
          </w:p>
        </w:tc>
        <w:tc>
          <w:tcPr>
            <w:tcW w:w="8222" w:type="dxa"/>
            <w:gridSpan w:val="5"/>
            <w:tcBorders>
              <w:top w:val="single" w:color="auto" w:sz="4" w:space="0"/>
              <w:left w:val="single" w:color="auto" w:sz="4" w:space="0"/>
              <w:bottom w:val="single" w:color="auto" w:sz="4" w:space="0"/>
              <w:right w:val="single" w:color="auto" w:sz="4" w:space="0"/>
            </w:tcBorders>
          </w:tcPr>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rPr>
                <w:sz w:val="24"/>
              </w:rPr>
            </w:pPr>
          </w:p>
        </w:tc>
      </w:tr>
    </w:tbl>
    <w:p>
      <w:pPr>
        <w:rPr>
          <w:rFonts w:ascii="黑体" w:eastAsia="黑体"/>
          <w:sz w:val="32"/>
          <w:szCs w:val="32"/>
        </w:rPr>
      </w:pPr>
      <w:r>
        <w:rPr>
          <w:rFonts w:hint="eastAsia" w:ascii="黑体" w:eastAsia="黑体"/>
          <w:sz w:val="32"/>
          <w:szCs w:val="32"/>
        </w:rPr>
        <w:t>二、申报推荐评选情况</w:t>
      </w:r>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985"/>
        <w:gridCol w:w="1559"/>
        <w:gridCol w:w="1559"/>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rPr>
              <w:t>单位自查</w:t>
            </w:r>
          </w:p>
          <w:p>
            <w:pPr>
              <w:spacing w:line="300" w:lineRule="exact"/>
              <w:jc w:val="center"/>
              <w:rPr>
                <w:sz w:val="24"/>
              </w:rPr>
            </w:pPr>
            <w:r>
              <w:rPr>
                <w:rFonts w:hint="eastAsia"/>
                <w:sz w:val="24"/>
              </w:rPr>
              <w:t>得</w:t>
            </w:r>
            <w:r>
              <w:rPr>
                <w:sz w:val="24"/>
              </w:rPr>
              <w:t xml:space="preserve"> </w:t>
            </w:r>
            <w:r>
              <w:rPr>
                <w:rFonts w:hint="eastAsia"/>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rPr>
              <w:t>镇街（园区）初评得分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rPr>
              <w:t>市评选组</w:t>
            </w:r>
          </w:p>
          <w:p>
            <w:pPr>
              <w:spacing w:line="300" w:lineRule="exact"/>
              <w:jc w:val="center"/>
              <w:rPr>
                <w:sz w:val="24"/>
              </w:rPr>
            </w:pPr>
            <w:r>
              <w:rPr>
                <w:rFonts w:hint="eastAsia"/>
                <w:sz w:val="24"/>
              </w:rPr>
              <w:t>终评得分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4"/>
              </w:rPr>
            </w:pPr>
            <w:r>
              <w:rPr>
                <w:rFonts w:hint="eastAsia"/>
                <w:sz w:val="24"/>
              </w:rPr>
              <w:t>申报单位承诺意见</w:t>
            </w:r>
          </w:p>
        </w:tc>
        <w:tc>
          <w:tcPr>
            <w:tcW w:w="8222" w:type="dxa"/>
            <w:gridSpan w:val="5"/>
            <w:tcBorders>
              <w:top w:val="single" w:color="auto" w:sz="4" w:space="0"/>
              <w:left w:val="single" w:color="auto" w:sz="4" w:space="0"/>
              <w:bottom w:val="single" w:color="auto" w:sz="4" w:space="0"/>
              <w:right w:val="single" w:color="auto" w:sz="4" w:space="0"/>
            </w:tcBorders>
          </w:tcPr>
          <w:p>
            <w:pPr>
              <w:rPr>
                <w:sz w:val="24"/>
              </w:rPr>
            </w:pPr>
          </w:p>
          <w:p>
            <w:pPr>
              <w:rPr>
                <w:sz w:val="24"/>
              </w:rPr>
            </w:pPr>
            <w:r>
              <w:rPr>
                <w:rFonts w:hint="eastAsia"/>
                <w:sz w:val="24"/>
              </w:rPr>
              <w:t>我单位郑重承诺：</w:t>
            </w:r>
          </w:p>
          <w:p>
            <w:pPr>
              <w:ind w:firstLine="480" w:firstLineChars="200"/>
              <w:rPr>
                <w:sz w:val="24"/>
              </w:rPr>
            </w:pPr>
            <w:r>
              <w:rPr>
                <w:rFonts w:hint="eastAsia"/>
                <w:sz w:val="24"/>
              </w:rPr>
              <w:t>此次申报东莞市工业旅游示范点（区）所填写情况和提供资料真实无误，并愿意承担因材料不实而产生的责任和后果，同意按照有关程序和要求开展评选工作。</w:t>
            </w:r>
          </w:p>
          <w:p>
            <w:pPr>
              <w:jc w:val="left"/>
              <w:rPr>
                <w:sz w:val="24"/>
              </w:rPr>
            </w:pPr>
          </w:p>
          <w:p>
            <w:pPr>
              <w:jc w:val="left"/>
              <w:rPr>
                <w:sz w:val="24"/>
              </w:rPr>
            </w:pPr>
          </w:p>
          <w:p>
            <w:pPr>
              <w:wordWrap w:val="0"/>
              <w:jc w:val="right"/>
              <w:rPr>
                <w:rFonts w:ascii="宋体" w:hAnsi="宋体"/>
                <w:sz w:val="24"/>
              </w:rPr>
            </w:pPr>
            <w:r>
              <w:rPr>
                <w:rFonts w:hint="eastAsia" w:ascii="宋体" w:hAnsi="宋体"/>
                <w:sz w:val="24"/>
              </w:rPr>
              <w:t xml:space="preserve">单位负责人签字：                  </w:t>
            </w:r>
          </w:p>
          <w:p>
            <w:pPr>
              <w:ind w:right="1440"/>
              <w:jc w:val="center"/>
              <w:rPr>
                <w:rFonts w:ascii="宋体" w:hAnsi="宋体"/>
                <w:sz w:val="24"/>
              </w:rPr>
            </w:pPr>
            <w:r>
              <w:rPr>
                <w:rFonts w:hint="eastAsia" w:ascii="宋体" w:hAnsi="宋体"/>
                <w:sz w:val="24"/>
              </w:rPr>
              <w:t xml:space="preserve">                                              （盖章）</w:t>
            </w:r>
          </w:p>
          <w:p>
            <w:pPr>
              <w:jc w:val="right"/>
              <w:rPr>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4"/>
              </w:rPr>
            </w:pPr>
            <w:r>
              <w:rPr>
                <w:rFonts w:hint="eastAsia"/>
                <w:sz w:val="24"/>
              </w:rPr>
              <w:t>镇街（园区）推荐意见</w:t>
            </w:r>
          </w:p>
        </w:tc>
        <w:tc>
          <w:tcPr>
            <w:tcW w:w="8222" w:type="dxa"/>
            <w:gridSpan w:val="5"/>
            <w:tcBorders>
              <w:top w:val="single" w:color="auto" w:sz="4" w:space="0"/>
              <w:left w:val="single" w:color="auto" w:sz="4" w:space="0"/>
              <w:bottom w:val="single" w:color="auto" w:sz="4" w:space="0"/>
              <w:right w:val="single" w:color="auto" w:sz="4" w:space="0"/>
            </w:tcBorders>
          </w:tcPr>
          <w:p>
            <w:pPr>
              <w:rPr>
                <w:sz w:val="24"/>
              </w:rPr>
            </w:pPr>
          </w:p>
          <w:p>
            <w:pPr>
              <w:rPr>
                <w:sz w:val="24"/>
              </w:rPr>
            </w:pPr>
            <w:r>
              <w:rPr>
                <w:rFonts w:hint="eastAsia"/>
                <w:sz w:val="24"/>
              </w:rPr>
              <w:t>东莞市文化广电旅游体育局：</w:t>
            </w:r>
          </w:p>
          <w:p>
            <w:pPr>
              <w:spacing w:line="252" w:lineRule="auto"/>
              <w:ind w:firstLine="573"/>
              <w:rPr>
                <w:rFonts w:ascii="宋体" w:hAnsi="宋体"/>
                <w:sz w:val="24"/>
              </w:rPr>
            </w:pPr>
            <w:r>
              <w:rPr>
                <w:rFonts w:hint="eastAsia" w:ascii="宋体" w:hAnsi="宋体"/>
                <w:sz w:val="24"/>
              </w:rPr>
              <w:t>根据《东莞市工业旅游示范点（区）评选办法（试行）》、《东莞市工业旅游示范点（区）评选定标准及评分规则》，经</w:t>
            </w:r>
            <w:r>
              <w:rPr>
                <w:rFonts w:hint="eastAsia" w:ascii="宋体" w:hAnsi="宋体"/>
                <w:sz w:val="24"/>
                <w:u w:val="single"/>
              </w:rPr>
              <w:t xml:space="preserve">                           </w:t>
            </w:r>
            <w:r>
              <w:rPr>
                <w:rFonts w:hint="eastAsia" w:ascii="宋体" w:hAnsi="宋体"/>
                <w:sz w:val="24"/>
              </w:rPr>
              <w:t>单位自查申报，</w:t>
            </w:r>
            <w:r>
              <w:rPr>
                <w:rFonts w:hint="eastAsia" w:ascii="宋体" w:hAnsi="宋体"/>
                <w:sz w:val="24"/>
                <w:u w:val="single"/>
              </w:rPr>
              <w:t xml:space="preserve">                         （部门）</w:t>
            </w:r>
            <w:r>
              <w:rPr>
                <w:rFonts w:hint="eastAsia" w:ascii="宋体" w:hAnsi="宋体"/>
                <w:sz w:val="24"/>
              </w:rPr>
              <w:t>审核和初评，认为合格，同意推荐该单位申报“东莞市工业旅游示范点（区）”，请组织评选认定。</w:t>
            </w:r>
          </w:p>
          <w:p>
            <w:pPr>
              <w:spacing w:line="252" w:lineRule="auto"/>
              <w:rPr>
                <w:rFonts w:ascii="宋体" w:hAnsi="宋体"/>
                <w:sz w:val="24"/>
              </w:rPr>
            </w:pPr>
          </w:p>
          <w:p>
            <w:pPr>
              <w:wordWrap w:val="0"/>
              <w:ind w:firstLine="570"/>
              <w:jc w:val="right"/>
              <w:rPr>
                <w:rFonts w:ascii="宋体" w:hAnsi="宋体"/>
                <w:sz w:val="24"/>
              </w:rPr>
            </w:pPr>
            <w:r>
              <w:rPr>
                <w:rFonts w:hint="eastAsia" w:ascii="宋体" w:hAnsi="宋体"/>
                <w:sz w:val="24"/>
              </w:rPr>
              <w:t xml:space="preserve">推荐单位：                   </w:t>
            </w:r>
          </w:p>
          <w:p>
            <w:pPr>
              <w:ind w:firstLine="570"/>
              <w:jc w:val="center"/>
              <w:rPr>
                <w:rFonts w:ascii="宋体" w:hAnsi="宋体"/>
                <w:sz w:val="24"/>
              </w:rPr>
            </w:pPr>
            <w:r>
              <w:rPr>
                <w:rFonts w:hint="eastAsia" w:ascii="宋体" w:hAnsi="宋体"/>
                <w:sz w:val="24"/>
              </w:rPr>
              <w:t xml:space="preserve">                            （盖章）</w:t>
            </w:r>
          </w:p>
          <w:p>
            <w:pPr>
              <w:spacing w:afterLines="25"/>
              <w:ind w:firstLine="5652"/>
              <w:jc w:val="center"/>
              <w:rPr>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4"/>
              </w:rPr>
            </w:pPr>
            <w:r>
              <w:rPr>
                <w:rFonts w:hint="eastAsia"/>
                <w:sz w:val="24"/>
              </w:rPr>
              <w:t>市评选组意见</w:t>
            </w:r>
          </w:p>
        </w:tc>
        <w:tc>
          <w:tcPr>
            <w:tcW w:w="8222" w:type="dxa"/>
            <w:gridSpan w:val="5"/>
            <w:tcBorders>
              <w:top w:val="single" w:color="auto" w:sz="4" w:space="0"/>
              <w:left w:val="single" w:color="auto" w:sz="4" w:space="0"/>
              <w:bottom w:val="single" w:color="auto" w:sz="4" w:space="0"/>
              <w:right w:val="single" w:color="auto" w:sz="4" w:space="0"/>
            </w:tcBorders>
          </w:tcPr>
          <w:p>
            <w:pPr>
              <w:rPr>
                <w:sz w:val="24"/>
              </w:rPr>
            </w:pPr>
          </w:p>
          <w:p>
            <w:pPr>
              <w:rPr>
                <w:sz w:val="24"/>
              </w:rPr>
            </w:pPr>
          </w:p>
          <w:p>
            <w:pPr>
              <w:rPr>
                <w:sz w:val="24"/>
              </w:rPr>
            </w:pPr>
            <w:r>
              <w:rPr>
                <w:rFonts w:hint="eastAsia"/>
                <w:sz w:val="24"/>
              </w:rPr>
              <w:t xml:space="preserve">  经现场评分，该申报单位符合</w:t>
            </w:r>
            <w:r>
              <w:rPr>
                <w:rFonts w:hint="eastAsia" w:ascii="宋体" w:hAnsi="宋体"/>
                <w:sz w:val="24"/>
              </w:rPr>
              <w:t>东莞市工业旅游示范点（区）的评选标准。</w:t>
            </w:r>
          </w:p>
          <w:p>
            <w:pPr>
              <w:rPr>
                <w:sz w:val="24"/>
              </w:rPr>
            </w:pPr>
          </w:p>
          <w:p>
            <w:pPr>
              <w:rPr>
                <w:sz w:val="24"/>
              </w:rPr>
            </w:pPr>
          </w:p>
          <w:p>
            <w:pPr>
              <w:rPr>
                <w:sz w:val="24"/>
              </w:rPr>
            </w:pPr>
          </w:p>
          <w:p>
            <w:pPr>
              <w:rPr>
                <w:sz w:val="24"/>
              </w:rPr>
            </w:pPr>
          </w:p>
          <w:p>
            <w:pPr>
              <w:jc w:val="center"/>
              <w:rPr>
                <w:sz w:val="24"/>
              </w:rPr>
            </w:pPr>
            <w:r>
              <w:rPr>
                <w:sz w:val="24"/>
              </w:rPr>
              <w:t xml:space="preserve">       </w:t>
            </w:r>
            <w:r>
              <w:rPr>
                <w:rFonts w:hint="eastAsia"/>
                <w:sz w:val="24"/>
              </w:rPr>
              <w:t>签名：</w:t>
            </w:r>
          </w:p>
          <w:p>
            <w:pPr>
              <w:rPr>
                <w:sz w:val="24"/>
              </w:rPr>
            </w:pPr>
          </w:p>
          <w:p>
            <w:pPr>
              <w:spacing w:afterLines="20"/>
              <w:jc w:val="center"/>
              <w:rPr>
                <w:rFonts w:ascii="宋体" w:hAnsi="宋体"/>
                <w:sz w:val="24"/>
              </w:rPr>
            </w:pPr>
            <w:r>
              <w:rPr>
                <w:sz w:val="24"/>
              </w:rPr>
              <w:t xml:space="preserve">                              </w:t>
            </w:r>
            <w:r>
              <w:rPr>
                <w:rFonts w:hint="eastAsia" w:ascii="宋体" w:hAnsi="宋体"/>
                <w:sz w:val="24"/>
              </w:rPr>
              <w:t>年   月   日</w:t>
            </w:r>
          </w:p>
        </w:tc>
      </w:tr>
    </w:tbl>
    <w:p>
      <w:pPr>
        <w:rPr>
          <w:rFonts w:ascii="黑体" w:eastAsia="黑体"/>
          <w:b/>
          <w:sz w:val="32"/>
          <w:szCs w:val="32"/>
        </w:rPr>
      </w:pPr>
    </w:p>
    <w:p>
      <w:pPr>
        <w:rPr>
          <w:rFonts w:ascii="黑体" w:eastAsia="黑体"/>
          <w:b/>
          <w:sz w:val="32"/>
          <w:szCs w:val="32"/>
        </w:rPr>
      </w:pPr>
    </w:p>
    <w:p>
      <w:pPr>
        <w:rPr>
          <w:rFonts w:ascii="黑体" w:hAnsi="黑体" w:eastAsia="黑体"/>
          <w:sz w:val="32"/>
          <w:szCs w:val="32"/>
        </w:rPr>
      </w:pPr>
      <w:r>
        <w:rPr>
          <w:rFonts w:hint="eastAsia" w:ascii="黑体" w:hAnsi="黑体" w:eastAsia="黑体"/>
          <w:sz w:val="32"/>
          <w:szCs w:val="32"/>
        </w:rPr>
        <w:t>三、具体评分情况</w:t>
      </w:r>
    </w:p>
    <w:p>
      <w:pPr>
        <w:widowControl/>
        <w:spacing w:line="432" w:lineRule="auto"/>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（一）必备条件评价表</w:t>
      </w:r>
    </w:p>
    <w:tbl>
      <w:tblPr>
        <w:tblStyle w:val="8"/>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5281"/>
        <w:gridCol w:w="1116"/>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6" w:type="dxa"/>
            <w:vMerge w:val="restart"/>
            <w:vAlign w:val="center"/>
          </w:tcPr>
          <w:p>
            <w:pPr>
              <w:widowControl/>
              <w:spacing w:line="360" w:lineRule="auto"/>
              <w:jc w:val="center"/>
              <w:rPr>
                <w:rFonts w:eastAsia="黑体"/>
                <w:color w:val="000000"/>
                <w:kern w:val="0"/>
                <w:sz w:val="24"/>
              </w:rPr>
            </w:pPr>
            <w:r>
              <w:rPr>
                <w:rFonts w:eastAsia="黑体"/>
                <w:b/>
                <w:color w:val="000000"/>
                <w:kern w:val="0"/>
                <w:sz w:val="24"/>
              </w:rPr>
              <w:t>序号</w:t>
            </w:r>
          </w:p>
        </w:tc>
        <w:tc>
          <w:tcPr>
            <w:tcW w:w="5281" w:type="dxa"/>
            <w:vMerge w:val="restart"/>
            <w:vAlign w:val="center"/>
          </w:tcPr>
          <w:p>
            <w:pPr>
              <w:widowControl/>
              <w:spacing w:line="360" w:lineRule="auto"/>
              <w:jc w:val="center"/>
              <w:rPr>
                <w:rFonts w:eastAsia="黑体"/>
                <w:color w:val="000000"/>
                <w:kern w:val="0"/>
                <w:sz w:val="24"/>
              </w:rPr>
            </w:pPr>
            <w:r>
              <w:rPr>
                <w:rFonts w:eastAsia="黑体"/>
                <w:b/>
                <w:color w:val="000000"/>
                <w:kern w:val="0"/>
                <w:sz w:val="24"/>
              </w:rPr>
              <w:t>必备条件</w:t>
            </w:r>
          </w:p>
        </w:tc>
        <w:tc>
          <w:tcPr>
            <w:tcW w:w="3349" w:type="dxa"/>
            <w:gridSpan w:val="3"/>
            <w:vAlign w:val="center"/>
          </w:tcPr>
          <w:p>
            <w:pPr>
              <w:widowControl/>
              <w:jc w:val="center"/>
              <w:rPr>
                <w:rFonts w:eastAsia="黑体"/>
                <w:b/>
                <w:color w:val="000000"/>
                <w:kern w:val="0"/>
                <w:sz w:val="24"/>
              </w:rPr>
            </w:pPr>
            <w:r>
              <w:rPr>
                <w:rFonts w:hint="eastAsia" w:eastAsia="黑体"/>
                <w:b/>
                <w:color w:val="000000"/>
                <w:kern w:val="0"/>
                <w:sz w:val="24"/>
              </w:rPr>
              <w:t>检查情况（</w:t>
            </w:r>
            <w:r>
              <w:rPr>
                <w:rFonts w:eastAsia="黑体"/>
                <w:b/>
                <w:color w:val="000000"/>
                <w:kern w:val="0"/>
                <w:sz w:val="24"/>
              </w:rPr>
              <w:t>达标/不达标</w:t>
            </w:r>
            <w:r>
              <w:rPr>
                <w:rFonts w:hint="eastAsia" w:eastAsia="黑体"/>
                <w:b/>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6" w:type="dxa"/>
            <w:vMerge w:val="continue"/>
            <w:vAlign w:val="center"/>
          </w:tcPr>
          <w:p>
            <w:pPr>
              <w:widowControl/>
              <w:autoSpaceDE w:val="0"/>
              <w:autoSpaceDN w:val="0"/>
              <w:adjustRightInd w:val="0"/>
              <w:jc w:val="center"/>
              <w:rPr>
                <w:kern w:val="0"/>
                <w:sz w:val="24"/>
              </w:rPr>
            </w:pPr>
          </w:p>
        </w:tc>
        <w:tc>
          <w:tcPr>
            <w:tcW w:w="5281" w:type="dxa"/>
            <w:vMerge w:val="continue"/>
            <w:vAlign w:val="center"/>
          </w:tcPr>
          <w:p>
            <w:pPr>
              <w:widowControl/>
              <w:autoSpaceDE w:val="0"/>
              <w:autoSpaceDN w:val="0"/>
              <w:adjustRightInd w:val="0"/>
              <w:rPr>
                <w:kern w:val="0"/>
                <w:sz w:val="24"/>
              </w:rPr>
            </w:pPr>
          </w:p>
        </w:tc>
        <w:tc>
          <w:tcPr>
            <w:tcW w:w="1116" w:type="dxa"/>
            <w:vAlign w:val="center"/>
          </w:tcPr>
          <w:p>
            <w:pPr>
              <w:widowControl/>
              <w:jc w:val="center"/>
              <w:rPr>
                <w:color w:val="000000"/>
                <w:kern w:val="0"/>
                <w:sz w:val="24"/>
              </w:rPr>
            </w:pPr>
            <w:r>
              <w:rPr>
                <w:rFonts w:hint="eastAsia"/>
                <w:color w:val="000000"/>
                <w:kern w:val="0"/>
                <w:sz w:val="24"/>
              </w:rPr>
              <w:t>单位</w:t>
            </w:r>
          </w:p>
          <w:p>
            <w:pPr>
              <w:widowControl/>
              <w:jc w:val="center"/>
              <w:rPr>
                <w:color w:val="000000"/>
                <w:kern w:val="0"/>
                <w:sz w:val="24"/>
              </w:rPr>
            </w:pPr>
            <w:r>
              <w:rPr>
                <w:rFonts w:hint="eastAsia"/>
                <w:color w:val="000000"/>
                <w:kern w:val="0"/>
                <w:sz w:val="24"/>
              </w:rPr>
              <w:t>自查</w:t>
            </w:r>
          </w:p>
        </w:tc>
        <w:tc>
          <w:tcPr>
            <w:tcW w:w="1116" w:type="dxa"/>
            <w:vAlign w:val="center"/>
          </w:tcPr>
          <w:p>
            <w:pPr>
              <w:widowControl/>
              <w:jc w:val="center"/>
              <w:rPr>
                <w:color w:val="000000"/>
                <w:kern w:val="0"/>
                <w:sz w:val="24"/>
              </w:rPr>
            </w:pPr>
            <w:r>
              <w:rPr>
                <w:rFonts w:hint="eastAsia"/>
                <w:color w:val="000000"/>
                <w:kern w:val="0"/>
                <w:sz w:val="24"/>
              </w:rPr>
              <w:t>推荐</w:t>
            </w:r>
          </w:p>
          <w:p>
            <w:pPr>
              <w:widowControl/>
              <w:jc w:val="center"/>
              <w:rPr>
                <w:color w:val="000000"/>
                <w:kern w:val="0"/>
                <w:sz w:val="24"/>
              </w:rPr>
            </w:pPr>
            <w:r>
              <w:rPr>
                <w:rFonts w:hint="eastAsia"/>
                <w:color w:val="000000"/>
                <w:kern w:val="0"/>
                <w:sz w:val="24"/>
              </w:rPr>
              <w:t>单位</w:t>
            </w:r>
          </w:p>
        </w:tc>
        <w:tc>
          <w:tcPr>
            <w:tcW w:w="1117" w:type="dxa"/>
            <w:vAlign w:val="center"/>
          </w:tcPr>
          <w:p>
            <w:pPr>
              <w:widowControl/>
              <w:jc w:val="center"/>
              <w:rPr>
                <w:color w:val="000000"/>
                <w:kern w:val="0"/>
                <w:sz w:val="24"/>
              </w:rPr>
            </w:pPr>
            <w:r>
              <w:rPr>
                <w:rFonts w:hint="eastAsia"/>
                <w:color w:val="000000"/>
                <w:kern w:val="0"/>
                <w:sz w:val="24"/>
              </w:rPr>
              <w:t>评选</w:t>
            </w:r>
          </w:p>
          <w:p>
            <w:pPr>
              <w:widowControl/>
              <w:jc w:val="center"/>
              <w:rPr>
                <w:color w:val="000000"/>
                <w:kern w:val="0"/>
                <w:sz w:val="24"/>
              </w:rPr>
            </w:pPr>
            <w:r>
              <w:rPr>
                <w:rFonts w:hint="eastAsia"/>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6" w:type="dxa"/>
            <w:vAlign w:val="center"/>
          </w:tcPr>
          <w:p>
            <w:pPr>
              <w:widowControl/>
              <w:autoSpaceDE w:val="0"/>
              <w:autoSpaceDN w:val="0"/>
              <w:adjustRightInd w:val="0"/>
              <w:jc w:val="center"/>
              <w:rPr>
                <w:kern w:val="0"/>
                <w:sz w:val="24"/>
              </w:rPr>
            </w:pPr>
            <w:r>
              <w:rPr>
                <w:kern w:val="0"/>
                <w:sz w:val="24"/>
              </w:rPr>
              <w:t>1</w:t>
            </w:r>
          </w:p>
        </w:tc>
        <w:tc>
          <w:tcPr>
            <w:tcW w:w="5281" w:type="dxa"/>
            <w:vAlign w:val="center"/>
          </w:tcPr>
          <w:p>
            <w:pPr>
              <w:widowControl/>
              <w:autoSpaceDE w:val="0"/>
              <w:autoSpaceDN w:val="0"/>
              <w:adjustRightInd w:val="0"/>
              <w:rPr>
                <w:kern w:val="0"/>
                <w:sz w:val="24"/>
              </w:rPr>
            </w:pPr>
            <w:r>
              <w:rPr>
                <w:kern w:val="0"/>
                <w:sz w:val="24"/>
              </w:rPr>
              <w:t>主体明晰，</w:t>
            </w:r>
            <w:r>
              <w:rPr>
                <w:rFonts w:hint="eastAsia"/>
                <w:kern w:val="0"/>
                <w:sz w:val="24"/>
              </w:rPr>
              <w:t>具备有效的营业执照或管理机构证明文件</w:t>
            </w:r>
            <w:r>
              <w:rPr>
                <w:kern w:val="0"/>
                <w:sz w:val="24"/>
              </w:rPr>
              <w:t>。</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46" w:type="dxa"/>
            <w:vAlign w:val="center"/>
          </w:tcPr>
          <w:p>
            <w:pPr>
              <w:widowControl/>
              <w:autoSpaceDE w:val="0"/>
              <w:autoSpaceDN w:val="0"/>
              <w:adjustRightInd w:val="0"/>
              <w:jc w:val="center"/>
              <w:rPr>
                <w:kern w:val="0"/>
                <w:sz w:val="24"/>
              </w:rPr>
            </w:pPr>
            <w:r>
              <w:rPr>
                <w:kern w:val="0"/>
                <w:sz w:val="24"/>
              </w:rPr>
              <w:t>2</w:t>
            </w:r>
          </w:p>
        </w:tc>
        <w:tc>
          <w:tcPr>
            <w:tcW w:w="5281" w:type="dxa"/>
            <w:vAlign w:val="center"/>
          </w:tcPr>
          <w:p>
            <w:pPr>
              <w:widowControl/>
              <w:autoSpaceDE w:val="0"/>
              <w:autoSpaceDN w:val="0"/>
              <w:adjustRightInd w:val="0"/>
              <w:rPr>
                <w:kern w:val="0"/>
                <w:sz w:val="24"/>
              </w:rPr>
            </w:pPr>
            <w:r>
              <w:rPr>
                <w:kern w:val="0"/>
                <w:sz w:val="24"/>
              </w:rPr>
              <w:t>产权明晰，有明确的空间边界，项目建设符合用地规划，内部空间关联紧密，交通连接方便快捷。</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6" w:type="dxa"/>
            <w:vAlign w:val="center"/>
          </w:tcPr>
          <w:p>
            <w:pPr>
              <w:widowControl/>
              <w:autoSpaceDE w:val="0"/>
              <w:autoSpaceDN w:val="0"/>
              <w:adjustRightInd w:val="0"/>
              <w:jc w:val="center"/>
              <w:rPr>
                <w:kern w:val="0"/>
                <w:sz w:val="24"/>
              </w:rPr>
            </w:pPr>
            <w:r>
              <w:rPr>
                <w:kern w:val="0"/>
                <w:sz w:val="24"/>
              </w:rPr>
              <w:t>3</w:t>
            </w:r>
          </w:p>
        </w:tc>
        <w:tc>
          <w:tcPr>
            <w:tcW w:w="5281" w:type="dxa"/>
            <w:vAlign w:val="center"/>
          </w:tcPr>
          <w:p>
            <w:pPr>
              <w:widowControl/>
              <w:autoSpaceDE w:val="0"/>
              <w:autoSpaceDN w:val="0"/>
              <w:adjustRightInd w:val="0"/>
              <w:rPr>
                <w:kern w:val="0"/>
                <w:sz w:val="24"/>
              </w:rPr>
            </w:pPr>
            <w:r>
              <w:rPr>
                <w:kern w:val="0"/>
                <w:sz w:val="24"/>
              </w:rPr>
              <w:t>具备一定的工业旅游资源价值和景观质量，并以提供游览服务为重要功能。</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46" w:type="dxa"/>
            <w:vAlign w:val="center"/>
          </w:tcPr>
          <w:p>
            <w:pPr>
              <w:widowControl/>
              <w:autoSpaceDE w:val="0"/>
              <w:autoSpaceDN w:val="0"/>
              <w:adjustRightInd w:val="0"/>
              <w:jc w:val="center"/>
              <w:rPr>
                <w:kern w:val="0"/>
                <w:sz w:val="24"/>
              </w:rPr>
            </w:pPr>
            <w:r>
              <w:rPr>
                <w:kern w:val="0"/>
                <w:sz w:val="24"/>
              </w:rPr>
              <w:t>4</w:t>
            </w:r>
          </w:p>
        </w:tc>
        <w:tc>
          <w:tcPr>
            <w:tcW w:w="5281" w:type="dxa"/>
            <w:vAlign w:val="center"/>
          </w:tcPr>
          <w:p>
            <w:pPr>
              <w:widowControl/>
              <w:autoSpaceDE w:val="0"/>
              <w:autoSpaceDN w:val="0"/>
              <w:adjustRightInd w:val="0"/>
              <w:rPr>
                <w:kern w:val="0"/>
                <w:sz w:val="24"/>
              </w:rPr>
            </w:pPr>
            <w:r>
              <w:rPr>
                <w:rFonts w:hint="eastAsia"/>
                <w:kern w:val="0"/>
                <w:sz w:val="24"/>
              </w:rPr>
              <w:t>有必要安全设施和制度，经安全风险评估，满足安全条件，近三年内未发生较大安全责任事故或亡人火灾事故；</w:t>
            </w:r>
            <w:r>
              <w:rPr>
                <w:kern w:val="0"/>
                <w:sz w:val="24"/>
              </w:rPr>
              <w:t>公布并严格执行主管部门核定的最大承载量，制定旅游者安全保护制度和应急预案。</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46" w:type="dxa"/>
            <w:vAlign w:val="center"/>
          </w:tcPr>
          <w:p>
            <w:pPr>
              <w:widowControl/>
              <w:autoSpaceDE w:val="0"/>
              <w:autoSpaceDN w:val="0"/>
              <w:adjustRightInd w:val="0"/>
              <w:jc w:val="center"/>
              <w:rPr>
                <w:kern w:val="0"/>
                <w:sz w:val="24"/>
              </w:rPr>
            </w:pPr>
            <w:r>
              <w:rPr>
                <w:kern w:val="0"/>
                <w:sz w:val="24"/>
              </w:rPr>
              <w:t>5</w:t>
            </w:r>
          </w:p>
        </w:tc>
        <w:tc>
          <w:tcPr>
            <w:tcW w:w="5281" w:type="dxa"/>
            <w:vAlign w:val="center"/>
          </w:tcPr>
          <w:p>
            <w:pPr>
              <w:widowControl/>
              <w:autoSpaceDE w:val="0"/>
              <w:autoSpaceDN w:val="0"/>
              <w:adjustRightInd w:val="0"/>
              <w:rPr>
                <w:kern w:val="0"/>
                <w:sz w:val="24"/>
              </w:rPr>
            </w:pPr>
            <w:r>
              <w:rPr>
                <w:rFonts w:hint="eastAsia"/>
                <w:kern w:val="0"/>
                <w:sz w:val="24"/>
              </w:rPr>
              <w:t>有必要的环境保护设施和生态保护措施，近三年内未发生恶性环境违法案件，未造成较大社会影响。</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6" w:type="dxa"/>
            <w:vAlign w:val="center"/>
          </w:tcPr>
          <w:p>
            <w:pPr>
              <w:widowControl/>
              <w:autoSpaceDE w:val="0"/>
              <w:autoSpaceDN w:val="0"/>
              <w:adjustRightInd w:val="0"/>
              <w:jc w:val="center"/>
              <w:rPr>
                <w:kern w:val="0"/>
                <w:sz w:val="24"/>
              </w:rPr>
            </w:pPr>
            <w:r>
              <w:rPr>
                <w:kern w:val="0"/>
                <w:sz w:val="24"/>
              </w:rPr>
              <w:t>6</w:t>
            </w:r>
          </w:p>
        </w:tc>
        <w:tc>
          <w:tcPr>
            <w:tcW w:w="5281" w:type="dxa"/>
            <w:vAlign w:val="center"/>
          </w:tcPr>
          <w:p>
            <w:pPr>
              <w:widowControl/>
              <w:autoSpaceDE w:val="0"/>
              <w:autoSpaceDN w:val="0"/>
              <w:adjustRightInd w:val="0"/>
              <w:rPr>
                <w:kern w:val="0"/>
                <w:sz w:val="24"/>
              </w:rPr>
            </w:pPr>
            <w:r>
              <w:rPr>
                <w:kern w:val="0"/>
                <w:sz w:val="24"/>
              </w:rPr>
              <w:t>诚信经营，近三年内未发生重大市场失信和价格欺诈等问题。</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6" w:type="dxa"/>
            <w:vAlign w:val="center"/>
          </w:tcPr>
          <w:p>
            <w:pPr>
              <w:widowControl/>
              <w:autoSpaceDE w:val="0"/>
              <w:autoSpaceDN w:val="0"/>
              <w:adjustRightInd w:val="0"/>
              <w:jc w:val="center"/>
              <w:rPr>
                <w:kern w:val="0"/>
                <w:sz w:val="24"/>
              </w:rPr>
            </w:pPr>
            <w:r>
              <w:rPr>
                <w:kern w:val="0"/>
                <w:sz w:val="24"/>
              </w:rPr>
              <w:t>7</w:t>
            </w:r>
          </w:p>
        </w:tc>
        <w:tc>
          <w:tcPr>
            <w:tcW w:w="5281" w:type="dxa"/>
            <w:vAlign w:val="center"/>
          </w:tcPr>
          <w:p>
            <w:pPr>
              <w:widowControl/>
              <w:autoSpaceDE w:val="0"/>
              <w:autoSpaceDN w:val="0"/>
              <w:adjustRightInd w:val="0"/>
              <w:rPr>
                <w:kern w:val="0"/>
                <w:sz w:val="24"/>
              </w:rPr>
            </w:pPr>
            <w:r>
              <w:rPr>
                <w:kern w:val="0"/>
                <w:sz w:val="24"/>
              </w:rPr>
              <w:t>培育和践行社会主义核心价值观，倡导文明旅游和绿色消费。</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bl>
    <w:p>
      <w:pPr>
        <w:widowControl/>
        <w:spacing w:line="432" w:lineRule="auto"/>
        <w:rPr>
          <w:rFonts w:ascii="宋体" w:hAnsi="宋体" w:eastAsia="仿宋_GB2312" w:cs="宋体"/>
          <w:b/>
          <w:bCs/>
          <w:color w:val="000000"/>
          <w:kern w:val="0"/>
          <w:sz w:val="32"/>
          <w:szCs w:val="32"/>
        </w:rPr>
      </w:pPr>
    </w:p>
    <w:p>
      <w:pPr>
        <w:widowControl/>
        <w:spacing w:line="432" w:lineRule="auto"/>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（二）基本条件及附加项目评分表</w:t>
      </w:r>
    </w:p>
    <w:tbl>
      <w:tblPr>
        <w:tblStyle w:val="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4477"/>
        <w:gridCol w:w="700"/>
        <w:gridCol w:w="611"/>
        <w:gridCol w:w="598"/>
        <w:gridCol w:w="595"/>
        <w:gridCol w:w="520"/>
        <w:gridCol w:w="52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blHeader/>
          <w:jc w:val="center"/>
        </w:trPr>
        <w:tc>
          <w:tcPr>
            <w:tcW w:w="1021" w:type="dxa"/>
            <w:vAlign w:val="center"/>
          </w:tcPr>
          <w:p>
            <w:pPr>
              <w:widowControl/>
              <w:spacing w:line="240" w:lineRule="exact"/>
              <w:jc w:val="center"/>
              <w:rPr>
                <w:color w:val="000000"/>
                <w:kern w:val="0"/>
                <w:sz w:val="24"/>
              </w:rPr>
            </w:pPr>
            <w:r>
              <w:rPr>
                <w:b/>
                <w:color w:val="000000"/>
                <w:kern w:val="0"/>
                <w:sz w:val="20"/>
                <w:szCs w:val="21"/>
              </w:rPr>
              <w:t>序号</w:t>
            </w:r>
          </w:p>
        </w:tc>
        <w:tc>
          <w:tcPr>
            <w:tcW w:w="4477" w:type="dxa"/>
            <w:vAlign w:val="center"/>
          </w:tcPr>
          <w:p>
            <w:pPr>
              <w:widowControl/>
              <w:spacing w:line="240" w:lineRule="exact"/>
              <w:jc w:val="center"/>
              <w:rPr>
                <w:color w:val="000000"/>
                <w:kern w:val="0"/>
                <w:sz w:val="24"/>
              </w:rPr>
            </w:pPr>
            <w:r>
              <w:rPr>
                <w:b/>
                <w:color w:val="000000"/>
                <w:kern w:val="0"/>
                <w:sz w:val="20"/>
                <w:szCs w:val="21"/>
              </w:rPr>
              <w:t>检 查 项 目</w:t>
            </w:r>
          </w:p>
        </w:tc>
        <w:tc>
          <w:tcPr>
            <w:tcW w:w="700" w:type="dxa"/>
            <w:vAlign w:val="center"/>
          </w:tcPr>
          <w:p>
            <w:pPr>
              <w:widowControl/>
              <w:spacing w:line="240" w:lineRule="exact"/>
              <w:jc w:val="center"/>
              <w:rPr>
                <w:b/>
                <w:color w:val="000000"/>
                <w:kern w:val="0"/>
                <w:sz w:val="20"/>
                <w:szCs w:val="21"/>
              </w:rPr>
            </w:pPr>
          </w:p>
          <w:p>
            <w:pPr>
              <w:widowControl/>
              <w:spacing w:line="240" w:lineRule="exact"/>
              <w:jc w:val="center"/>
              <w:rPr>
                <w:b/>
                <w:color w:val="000000"/>
                <w:kern w:val="0"/>
                <w:sz w:val="20"/>
                <w:szCs w:val="21"/>
              </w:rPr>
            </w:pPr>
            <w:r>
              <w:rPr>
                <w:b/>
                <w:color w:val="000000"/>
                <w:kern w:val="0"/>
                <w:sz w:val="20"/>
                <w:szCs w:val="21"/>
              </w:rPr>
              <w:t>大</w:t>
            </w:r>
          </w:p>
          <w:p>
            <w:pPr>
              <w:widowControl/>
              <w:spacing w:line="240" w:lineRule="exact"/>
              <w:jc w:val="center"/>
              <w:rPr>
                <w:b/>
                <w:color w:val="000000"/>
                <w:kern w:val="0"/>
                <w:sz w:val="20"/>
                <w:szCs w:val="21"/>
              </w:rPr>
            </w:pPr>
            <w:r>
              <w:rPr>
                <w:b/>
                <w:color w:val="000000"/>
                <w:kern w:val="0"/>
                <w:sz w:val="20"/>
                <w:szCs w:val="21"/>
              </w:rPr>
              <w:t>项</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color w:val="000000"/>
                <w:kern w:val="0"/>
                <w:sz w:val="24"/>
              </w:rPr>
            </w:pPr>
            <w:r>
              <w:rPr>
                <w:b/>
                <w:color w:val="000000"/>
                <w:kern w:val="0"/>
                <w:sz w:val="20"/>
                <w:szCs w:val="21"/>
              </w:rPr>
              <w:t>值</w:t>
            </w:r>
          </w:p>
        </w:tc>
        <w:tc>
          <w:tcPr>
            <w:tcW w:w="611" w:type="dxa"/>
            <w:vAlign w:val="center"/>
          </w:tcPr>
          <w:p>
            <w:pPr>
              <w:widowControl/>
              <w:spacing w:line="240" w:lineRule="exact"/>
              <w:jc w:val="center"/>
              <w:rPr>
                <w:b/>
                <w:color w:val="000000"/>
                <w:kern w:val="0"/>
                <w:sz w:val="20"/>
                <w:szCs w:val="21"/>
              </w:rPr>
            </w:pP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b/>
                <w:color w:val="000000"/>
                <w:kern w:val="0"/>
                <w:sz w:val="20"/>
                <w:szCs w:val="21"/>
              </w:rPr>
            </w:pPr>
            <w:r>
              <w:rPr>
                <w:b/>
                <w:color w:val="000000"/>
                <w:kern w:val="0"/>
                <w:sz w:val="20"/>
                <w:szCs w:val="21"/>
              </w:rPr>
              <w:t>项</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color w:val="000000"/>
                <w:kern w:val="0"/>
                <w:sz w:val="24"/>
              </w:rPr>
            </w:pPr>
            <w:r>
              <w:rPr>
                <w:b/>
                <w:color w:val="000000"/>
                <w:kern w:val="0"/>
                <w:sz w:val="20"/>
                <w:szCs w:val="21"/>
              </w:rPr>
              <w:t>值</w:t>
            </w:r>
          </w:p>
        </w:tc>
        <w:tc>
          <w:tcPr>
            <w:tcW w:w="598" w:type="dxa"/>
            <w:vAlign w:val="center"/>
          </w:tcPr>
          <w:p>
            <w:pPr>
              <w:widowControl/>
              <w:spacing w:line="240" w:lineRule="exact"/>
              <w:jc w:val="center"/>
              <w:rPr>
                <w:b/>
                <w:color w:val="000000"/>
                <w:kern w:val="0"/>
                <w:sz w:val="20"/>
                <w:szCs w:val="21"/>
              </w:rPr>
            </w:pPr>
            <w:r>
              <w:rPr>
                <w:b/>
                <w:color w:val="000000"/>
                <w:kern w:val="0"/>
                <w:sz w:val="20"/>
                <w:szCs w:val="21"/>
              </w:rPr>
              <w:t>次</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b/>
                <w:color w:val="000000"/>
                <w:kern w:val="0"/>
                <w:sz w:val="20"/>
                <w:szCs w:val="21"/>
              </w:rPr>
            </w:pPr>
            <w:r>
              <w:rPr>
                <w:b/>
                <w:color w:val="000000"/>
                <w:kern w:val="0"/>
                <w:sz w:val="20"/>
                <w:szCs w:val="21"/>
              </w:rPr>
              <w:t>项</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color w:val="000000"/>
                <w:kern w:val="0"/>
                <w:sz w:val="24"/>
              </w:rPr>
            </w:pPr>
            <w:r>
              <w:rPr>
                <w:b/>
                <w:color w:val="000000"/>
                <w:kern w:val="0"/>
                <w:sz w:val="20"/>
                <w:szCs w:val="21"/>
              </w:rPr>
              <w:t>值</w:t>
            </w:r>
          </w:p>
        </w:tc>
        <w:tc>
          <w:tcPr>
            <w:tcW w:w="595" w:type="dxa"/>
            <w:vAlign w:val="center"/>
          </w:tcPr>
          <w:p>
            <w:pPr>
              <w:widowControl/>
              <w:spacing w:line="240" w:lineRule="exact"/>
              <w:jc w:val="center"/>
              <w:rPr>
                <w:kern w:val="0"/>
                <w:sz w:val="20"/>
                <w:szCs w:val="21"/>
              </w:rPr>
            </w:pPr>
            <w:r>
              <w:rPr>
                <w:b/>
                <w:color w:val="000000"/>
                <w:kern w:val="0"/>
                <w:sz w:val="20"/>
                <w:szCs w:val="21"/>
              </w:rPr>
              <w:t>小</w:t>
            </w:r>
          </w:p>
          <w:p>
            <w:pPr>
              <w:widowControl/>
              <w:spacing w:line="240" w:lineRule="exact"/>
              <w:jc w:val="center"/>
              <w:rPr>
                <w:kern w:val="0"/>
                <w:sz w:val="20"/>
                <w:szCs w:val="21"/>
              </w:rPr>
            </w:pPr>
            <w:r>
              <w:rPr>
                <w:b/>
                <w:color w:val="000000"/>
                <w:kern w:val="0"/>
                <w:sz w:val="20"/>
                <w:szCs w:val="21"/>
              </w:rPr>
              <w:t>分</w:t>
            </w:r>
          </w:p>
          <w:p>
            <w:pPr>
              <w:widowControl/>
              <w:spacing w:line="240" w:lineRule="exact"/>
              <w:jc w:val="center"/>
              <w:rPr>
                <w:kern w:val="0"/>
                <w:sz w:val="20"/>
                <w:szCs w:val="21"/>
              </w:rPr>
            </w:pPr>
            <w:r>
              <w:rPr>
                <w:b/>
                <w:color w:val="000000"/>
                <w:kern w:val="0"/>
                <w:sz w:val="20"/>
                <w:szCs w:val="21"/>
              </w:rPr>
              <w:t>项</w:t>
            </w:r>
          </w:p>
          <w:p>
            <w:pPr>
              <w:widowControl/>
              <w:spacing w:line="240" w:lineRule="exact"/>
              <w:jc w:val="center"/>
              <w:rPr>
                <w:kern w:val="0"/>
                <w:sz w:val="20"/>
                <w:szCs w:val="21"/>
              </w:rPr>
            </w:pPr>
            <w:r>
              <w:rPr>
                <w:b/>
                <w:color w:val="000000"/>
                <w:kern w:val="0"/>
                <w:sz w:val="20"/>
                <w:szCs w:val="21"/>
              </w:rPr>
              <w:t>分</w:t>
            </w:r>
          </w:p>
          <w:p>
            <w:pPr>
              <w:widowControl/>
              <w:spacing w:line="240" w:lineRule="exact"/>
              <w:jc w:val="center"/>
              <w:rPr>
                <w:color w:val="000000"/>
                <w:kern w:val="0"/>
                <w:sz w:val="24"/>
              </w:rPr>
            </w:pPr>
            <w:r>
              <w:rPr>
                <w:b/>
                <w:color w:val="000000"/>
                <w:kern w:val="0"/>
                <w:sz w:val="20"/>
                <w:szCs w:val="21"/>
              </w:rPr>
              <w:t>值</w:t>
            </w:r>
          </w:p>
        </w:tc>
        <w:tc>
          <w:tcPr>
            <w:tcW w:w="520" w:type="dxa"/>
            <w:vAlign w:val="center"/>
          </w:tcPr>
          <w:p>
            <w:pPr>
              <w:widowControl/>
              <w:spacing w:line="240" w:lineRule="exact"/>
              <w:jc w:val="center"/>
              <w:rPr>
                <w:kern w:val="0"/>
                <w:sz w:val="20"/>
                <w:szCs w:val="21"/>
              </w:rPr>
            </w:pPr>
            <w:r>
              <w:rPr>
                <w:rFonts w:hint="eastAsia"/>
                <w:b/>
                <w:color w:val="000000"/>
                <w:kern w:val="0"/>
                <w:sz w:val="20"/>
                <w:szCs w:val="21"/>
              </w:rPr>
              <w:t>自检</w:t>
            </w:r>
          </w:p>
          <w:p>
            <w:pPr>
              <w:widowControl/>
              <w:spacing w:line="240" w:lineRule="exact"/>
              <w:jc w:val="center"/>
              <w:rPr>
                <w:kern w:val="0"/>
                <w:sz w:val="20"/>
                <w:szCs w:val="21"/>
              </w:rPr>
            </w:pPr>
            <w:r>
              <w:rPr>
                <w:rFonts w:hint="eastAsia"/>
                <w:b/>
                <w:color w:val="000000"/>
                <w:kern w:val="0"/>
                <w:sz w:val="20"/>
                <w:szCs w:val="21"/>
              </w:rPr>
              <w:t>计</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color w:val="000000"/>
                <w:kern w:val="0"/>
                <w:sz w:val="24"/>
              </w:rPr>
            </w:pPr>
            <w:r>
              <w:rPr>
                <w:rFonts w:hint="eastAsia"/>
                <w:b/>
                <w:color w:val="000000"/>
                <w:kern w:val="0"/>
                <w:sz w:val="20"/>
                <w:szCs w:val="21"/>
              </w:rPr>
              <w:t>栏</w:t>
            </w:r>
          </w:p>
        </w:tc>
        <w:tc>
          <w:tcPr>
            <w:tcW w:w="520" w:type="dxa"/>
          </w:tcPr>
          <w:p>
            <w:pPr>
              <w:widowControl/>
              <w:spacing w:line="240" w:lineRule="exact"/>
              <w:jc w:val="center"/>
              <w:rPr>
                <w:b/>
                <w:color w:val="000000"/>
                <w:kern w:val="0"/>
                <w:sz w:val="20"/>
                <w:szCs w:val="21"/>
              </w:rPr>
            </w:pPr>
            <w:r>
              <w:rPr>
                <w:rFonts w:hint="eastAsia"/>
                <w:b/>
                <w:color w:val="000000"/>
                <w:kern w:val="0"/>
                <w:sz w:val="20"/>
                <w:szCs w:val="21"/>
              </w:rPr>
              <w:t>推荐单位计分栏</w:t>
            </w:r>
          </w:p>
        </w:tc>
        <w:tc>
          <w:tcPr>
            <w:tcW w:w="520" w:type="dxa"/>
          </w:tcPr>
          <w:p>
            <w:pPr>
              <w:widowControl/>
              <w:spacing w:line="240" w:lineRule="exact"/>
              <w:jc w:val="center"/>
              <w:rPr>
                <w:b/>
                <w:color w:val="000000"/>
                <w:kern w:val="0"/>
                <w:sz w:val="20"/>
                <w:szCs w:val="21"/>
              </w:rPr>
            </w:pPr>
            <w:r>
              <w:rPr>
                <w:rFonts w:hint="eastAsia"/>
                <w:b/>
                <w:color w:val="000000"/>
                <w:kern w:val="0"/>
                <w:sz w:val="20"/>
                <w:szCs w:val="21"/>
              </w:rPr>
              <w:t>评选单位计分栏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autoSpaceDE w:val="0"/>
              <w:autoSpaceDN w:val="0"/>
              <w:adjustRightInd w:val="0"/>
              <w:spacing w:beforeLines="50" w:afterLines="50"/>
              <w:rPr>
                <w:rFonts w:eastAsia="黑体"/>
                <w:bCs/>
                <w:kern w:val="0"/>
                <w:sz w:val="24"/>
              </w:rPr>
            </w:pPr>
            <w:r>
              <w:rPr>
                <w:rFonts w:eastAsia="黑体"/>
                <w:bCs/>
                <w:kern w:val="0"/>
                <w:sz w:val="24"/>
              </w:rPr>
              <w:t>1</w:t>
            </w:r>
          </w:p>
        </w:tc>
        <w:tc>
          <w:tcPr>
            <w:tcW w:w="4477" w:type="dxa"/>
            <w:vAlign w:val="center"/>
          </w:tcPr>
          <w:p>
            <w:pPr>
              <w:autoSpaceDE w:val="0"/>
              <w:autoSpaceDN w:val="0"/>
              <w:adjustRightInd w:val="0"/>
              <w:spacing w:beforeLines="50" w:afterLines="50"/>
              <w:rPr>
                <w:rFonts w:eastAsia="黑体"/>
                <w:bCs/>
                <w:kern w:val="0"/>
                <w:sz w:val="24"/>
              </w:rPr>
            </w:pPr>
            <w:r>
              <w:rPr>
                <w:rFonts w:eastAsia="黑体"/>
                <w:bCs/>
                <w:kern w:val="0"/>
                <w:sz w:val="24"/>
              </w:rPr>
              <w:t>基本条件</w:t>
            </w:r>
          </w:p>
        </w:tc>
        <w:tc>
          <w:tcPr>
            <w:tcW w:w="700" w:type="dxa"/>
            <w:vAlign w:val="center"/>
          </w:tcPr>
          <w:p>
            <w:pPr>
              <w:widowControl/>
              <w:spacing w:beforeLines="50" w:afterLines="50"/>
              <w:rPr>
                <w:rFonts w:eastAsia="黑体"/>
                <w:bCs/>
                <w:color w:val="000000"/>
                <w:kern w:val="0"/>
                <w:sz w:val="24"/>
              </w:rPr>
            </w:pPr>
            <w:r>
              <w:rPr>
                <w:rFonts w:eastAsia="黑体"/>
                <w:bCs/>
                <w:color w:val="000000"/>
                <w:kern w:val="0"/>
                <w:sz w:val="24"/>
              </w:rPr>
              <w:t>1000</w:t>
            </w:r>
          </w:p>
        </w:tc>
        <w:tc>
          <w:tcPr>
            <w:tcW w:w="611" w:type="dxa"/>
            <w:vAlign w:val="center"/>
          </w:tcPr>
          <w:p>
            <w:pPr>
              <w:widowControl/>
              <w:spacing w:beforeLines="50" w:afterLines="50"/>
              <w:jc w:val="center"/>
              <w:rPr>
                <w:rFonts w:eastAsia="黑体"/>
                <w:bCs/>
                <w:color w:val="000000"/>
                <w:kern w:val="0"/>
                <w:sz w:val="24"/>
              </w:rPr>
            </w:pPr>
          </w:p>
        </w:tc>
        <w:tc>
          <w:tcPr>
            <w:tcW w:w="598" w:type="dxa"/>
            <w:vAlign w:val="center"/>
          </w:tcPr>
          <w:p>
            <w:pPr>
              <w:widowControl/>
              <w:spacing w:beforeLines="50" w:afterLines="50"/>
              <w:jc w:val="center"/>
              <w:rPr>
                <w:rFonts w:eastAsia="黑体"/>
                <w:bCs/>
                <w:color w:val="000000"/>
                <w:kern w:val="0"/>
                <w:sz w:val="24"/>
              </w:rPr>
            </w:pPr>
          </w:p>
        </w:tc>
        <w:tc>
          <w:tcPr>
            <w:tcW w:w="595" w:type="dxa"/>
            <w:vAlign w:val="center"/>
          </w:tcPr>
          <w:p>
            <w:pPr>
              <w:widowControl/>
              <w:spacing w:beforeLines="50" w:afterLines="50"/>
              <w:jc w:val="center"/>
              <w:rPr>
                <w:rFonts w:eastAsia="黑体"/>
                <w:bCs/>
                <w:color w:val="000000"/>
                <w:kern w:val="0"/>
                <w:sz w:val="24"/>
              </w:rPr>
            </w:pPr>
          </w:p>
        </w:tc>
        <w:tc>
          <w:tcPr>
            <w:tcW w:w="520" w:type="dxa"/>
            <w:vAlign w:val="center"/>
          </w:tcPr>
          <w:p>
            <w:pPr>
              <w:widowControl/>
              <w:spacing w:beforeLines="50" w:afterLines="50"/>
              <w:rPr>
                <w:rFonts w:eastAsia="黑体"/>
                <w:bCs/>
                <w:color w:val="000000"/>
                <w:kern w:val="0"/>
                <w:sz w:val="24"/>
              </w:rPr>
            </w:pPr>
          </w:p>
        </w:tc>
        <w:tc>
          <w:tcPr>
            <w:tcW w:w="520" w:type="dxa"/>
          </w:tcPr>
          <w:p>
            <w:pPr>
              <w:widowControl/>
              <w:spacing w:beforeLines="50" w:afterLines="50"/>
              <w:rPr>
                <w:rFonts w:eastAsia="黑体"/>
                <w:bCs/>
                <w:color w:val="000000"/>
                <w:kern w:val="0"/>
                <w:sz w:val="24"/>
              </w:rPr>
            </w:pPr>
          </w:p>
        </w:tc>
        <w:tc>
          <w:tcPr>
            <w:tcW w:w="520" w:type="dxa"/>
          </w:tcPr>
          <w:p>
            <w:pPr>
              <w:widowControl/>
              <w:spacing w:beforeLines="50" w:afterLines="50"/>
              <w:rPr>
                <w:rFonts w:eastAsia="黑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b/>
                <w:bCs/>
                <w:color w:val="000000"/>
                <w:kern w:val="0"/>
                <w:sz w:val="20"/>
                <w:szCs w:val="21"/>
              </w:rPr>
            </w:pPr>
            <w:r>
              <w:rPr>
                <w:b/>
                <w:bCs/>
                <w:kern w:val="0"/>
                <w:sz w:val="20"/>
                <w:szCs w:val="21"/>
              </w:rPr>
              <w:t>1.1</w:t>
            </w:r>
          </w:p>
        </w:tc>
        <w:tc>
          <w:tcPr>
            <w:tcW w:w="4477" w:type="dxa"/>
            <w:vAlign w:val="center"/>
          </w:tcPr>
          <w:p>
            <w:pPr>
              <w:widowControl/>
              <w:snapToGrid w:val="0"/>
              <w:rPr>
                <w:b/>
                <w:bCs/>
                <w:color w:val="000000"/>
                <w:kern w:val="0"/>
                <w:sz w:val="20"/>
                <w:szCs w:val="21"/>
              </w:rPr>
            </w:pPr>
            <w:r>
              <w:rPr>
                <w:b/>
                <w:bCs/>
                <w:kern w:val="0"/>
                <w:sz w:val="20"/>
                <w:szCs w:val="21"/>
              </w:rPr>
              <w:t>资源价值</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b/>
                <w:bCs/>
                <w:color w:val="000000"/>
                <w:kern w:val="0"/>
                <w:sz w:val="20"/>
                <w:szCs w:val="21"/>
              </w:rPr>
              <w:t>1</w:t>
            </w:r>
            <w:r>
              <w:rPr>
                <w:rFonts w:hint="eastAsia"/>
                <w:b/>
                <w:bCs/>
                <w:color w:val="000000"/>
                <w:kern w:val="0"/>
                <w:sz w:val="20"/>
                <w:szCs w:val="21"/>
              </w:rPr>
              <w:t>4</w:t>
            </w:r>
            <w:r>
              <w:rPr>
                <w:b/>
                <w:bCs/>
                <w:color w:val="000000"/>
                <w:kern w:val="0"/>
                <w:sz w:val="20"/>
                <w:szCs w:val="21"/>
              </w:rPr>
              <w:t>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1.1.1</w:t>
            </w:r>
          </w:p>
        </w:tc>
        <w:tc>
          <w:tcPr>
            <w:tcW w:w="4477" w:type="dxa"/>
            <w:vAlign w:val="center"/>
          </w:tcPr>
          <w:p>
            <w:pPr>
              <w:pStyle w:val="21"/>
              <w:widowControl w:val="0"/>
              <w:numPr>
                <w:ilvl w:val="0"/>
                <w:numId w:val="0"/>
              </w:numPr>
              <w:snapToGrid w:val="0"/>
              <w:rPr>
                <w:rFonts w:ascii="Times New Roman"/>
                <w:color w:val="000000"/>
                <w:sz w:val="20"/>
                <w:szCs w:val="21"/>
              </w:rPr>
            </w:pPr>
            <w:r>
              <w:rPr>
                <w:rFonts w:ascii="Times New Roman"/>
                <w:sz w:val="20"/>
                <w:szCs w:val="21"/>
              </w:rPr>
              <w:t>具有一定的工业文化历史价值、科学价值或科普价值、观赏价值，或其中一类价值具有市级或以上意义。</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40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 xml:space="preserve">1.1.2 </w:t>
            </w:r>
          </w:p>
        </w:tc>
        <w:tc>
          <w:tcPr>
            <w:tcW w:w="4477" w:type="dxa"/>
            <w:vAlign w:val="center"/>
          </w:tcPr>
          <w:p>
            <w:pPr>
              <w:pStyle w:val="21"/>
              <w:widowControl w:val="0"/>
              <w:numPr>
                <w:ilvl w:val="0"/>
                <w:numId w:val="0"/>
              </w:numPr>
              <w:snapToGrid w:val="0"/>
              <w:rPr>
                <w:rFonts w:ascii="Times New Roman" w:eastAsiaTheme="minorEastAsia"/>
                <w:color w:val="000000"/>
                <w:kern w:val="2"/>
                <w:sz w:val="20"/>
                <w:szCs w:val="21"/>
              </w:rPr>
            </w:pPr>
            <w:r>
              <w:rPr>
                <w:rFonts w:ascii="Times New Roman"/>
                <w:sz w:val="20"/>
                <w:szCs w:val="21"/>
              </w:rPr>
              <w:t>资源实体基本完整，具有一定体量，分布空间连续、管理统一。</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30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 xml:space="preserve">1.1.3 </w:t>
            </w:r>
          </w:p>
        </w:tc>
        <w:tc>
          <w:tcPr>
            <w:tcW w:w="4477" w:type="dxa"/>
            <w:vAlign w:val="center"/>
          </w:tcPr>
          <w:p>
            <w:pPr>
              <w:pStyle w:val="21"/>
              <w:widowControl w:val="0"/>
              <w:numPr>
                <w:ilvl w:val="0"/>
                <w:numId w:val="0"/>
              </w:numPr>
              <w:snapToGrid w:val="0"/>
              <w:rPr>
                <w:rFonts w:ascii="Times New Roman"/>
                <w:color w:val="000000"/>
                <w:sz w:val="20"/>
                <w:szCs w:val="21"/>
              </w:rPr>
            </w:pPr>
            <w:r>
              <w:rPr>
                <w:rFonts w:ascii="Times New Roman"/>
                <w:sz w:val="20"/>
                <w:szCs w:val="21"/>
              </w:rPr>
              <w:t>游览线路应对工业生产、工艺流程、建筑景观、科技成果、工业遗产等内容进行充分展示，特色明显，具有一定的独创性或较强的体验性。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40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1.1.4</w:t>
            </w:r>
          </w:p>
        </w:tc>
        <w:tc>
          <w:tcPr>
            <w:tcW w:w="4477" w:type="dxa"/>
            <w:vAlign w:val="center"/>
          </w:tcPr>
          <w:p>
            <w:pPr>
              <w:pStyle w:val="21"/>
              <w:widowControl w:val="0"/>
              <w:numPr>
                <w:ilvl w:val="0"/>
                <w:numId w:val="0"/>
              </w:numPr>
              <w:snapToGrid w:val="0"/>
              <w:rPr>
                <w:rFonts w:ascii="Times New Roman" w:eastAsiaTheme="minorEastAsia"/>
                <w:color w:val="000000"/>
                <w:kern w:val="2"/>
                <w:sz w:val="20"/>
                <w:szCs w:val="21"/>
              </w:rPr>
            </w:pPr>
            <w:r>
              <w:rPr>
                <w:rFonts w:ascii="Times New Roman"/>
                <w:sz w:val="20"/>
                <w:szCs w:val="21"/>
              </w:rPr>
              <w:t>市场形象良好，有一定规模的周边市场游客，年接待旅游者3000人次以上。</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3</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b/>
                <w:bCs/>
                <w:color w:val="000000"/>
                <w:kern w:val="0"/>
                <w:sz w:val="20"/>
                <w:szCs w:val="21"/>
              </w:rPr>
            </w:pPr>
            <w:r>
              <w:rPr>
                <w:b/>
                <w:bCs/>
                <w:kern w:val="0"/>
                <w:sz w:val="20"/>
                <w:szCs w:val="21"/>
              </w:rPr>
              <w:t xml:space="preserve">1.2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环境条件 </w:t>
            </w:r>
          </w:p>
        </w:tc>
        <w:tc>
          <w:tcPr>
            <w:tcW w:w="700" w:type="dxa"/>
            <w:vAlign w:val="center"/>
          </w:tcPr>
          <w:p>
            <w:pPr>
              <w:widowControl/>
              <w:rPr>
                <w:b/>
                <w:bCs/>
                <w:color w:val="000000"/>
                <w:kern w:val="0"/>
                <w:sz w:val="20"/>
                <w:szCs w:val="21"/>
              </w:rPr>
            </w:pPr>
          </w:p>
        </w:tc>
        <w:tc>
          <w:tcPr>
            <w:tcW w:w="611" w:type="dxa"/>
            <w:vAlign w:val="center"/>
          </w:tcPr>
          <w:p>
            <w:pPr>
              <w:widowControl/>
              <w:rPr>
                <w:b/>
                <w:bCs/>
                <w:color w:val="000000"/>
                <w:kern w:val="0"/>
                <w:sz w:val="20"/>
                <w:szCs w:val="21"/>
              </w:rPr>
            </w:pPr>
            <w:r>
              <w:rPr>
                <w:b/>
                <w:bCs/>
                <w:color w:val="000000"/>
                <w:kern w:val="0"/>
                <w:sz w:val="20"/>
                <w:szCs w:val="21"/>
              </w:rPr>
              <w:t>1</w:t>
            </w:r>
            <w:r>
              <w:rPr>
                <w:rFonts w:hint="eastAsia"/>
                <w:b/>
                <w:bCs/>
                <w:color w:val="000000"/>
                <w:kern w:val="0"/>
                <w:sz w:val="20"/>
                <w:szCs w:val="21"/>
              </w:rPr>
              <w:t>00</w:t>
            </w:r>
          </w:p>
        </w:tc>
        <w:tc>
          <w:tcPr>
            <w:tcW w:w="598" w:type="dxa"/>
            <w:vAlign w:val="center"/>
          </w:tcPr>
          <w:p>
            <w:pPr>
              <w:widowControl/>
              <w:rPr>
                <w:b/>
                <w:bCs/>
                <w:color w:val="000000"/>
                <w:kern w:val="0"/>
                <w:sz w:val="20"/>
                <w:szCs w:val="21"/>
              </w:rPr>
            </w:pPr>
          </w:p>
        </w:tc>
        <w:tc>
          <w:tcPr>
            <w:tcW w:w="595" w:type="dxa"/>
            <w:vAlign w:val="center"/>
          </w:tcPr>
          <w:p>
            <w:pPr>
              <w:widowControl/>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1.2.1</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环境空气质量应符合GB 3095-2012 二类区的规定。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rFonts w:hint="eastAsia"/>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1.2.2</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环境噪声应符合GB 12348-2008工业企业厂界环境噪声排放限值的规定。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rFonts w:hint="eastAsia"/>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1.2.3</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地表水环境质量应符合GB/T 3838-2002</w:t>
            </w:r>
            <w:r>
              <w:rPr>
                <w:rFonts w:ascii="Times New Roman" w:hAnsi="宋体" w:eastAsia="宋体"/>
                <w:sz w:val="20"/>
              </w:rPr>
              <w:t>Ⅳ</w:t>
            </w:r>
            <w:r>
              <w:rPr>
                <w:rFonts w:ascii="Times New Roman" w:eastAsia="宋体"/>
                <w:sz w:val="20"/>
              </w:rPr>
              <w:t xml:space="preserve">类的规定。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rFonts w:hint="eastAsia"/>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1.2.4</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污水综合排放应符合GB 8978-2002 三级标准的规定。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rFonts w:hint="eastAsia"/>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kern w:val="0"/>
                <w:sz w:val="20"/>
                <w:szCs w:val="21"/>
              </w:rPr>
            </w:pPr>
            <w:r>
              <w:rPr>
                <w:b/>
                <w:bCs/>
                <w:kern w:val="0"/>
                <w:sz w:val="20"/>
                <w:szCs w:val="21"/>
              </w:rPr>
              <w:t xml:space="preserve">1.3 </w:t>
            </w:r>
          </w:p>
        </w:tc>
        <w:tc>
          <w:tcPr>
            <w:tcW w:w="4477" w:type="dxa"/>
            <w:vAlign w:val="center"/>
          </w:tcPr>
          <w:p>
            <w:pPr>
              <w:widowControl/>
              <w:rPr>
                <w:b/>
                <w:bCs/>
                <w:kern w:val="0"/>
                <w:sz w:val="20"/>
                <w:szCs w:val="21"/>
              </w:rPr>
            </w:pPr>
            <w:r>
              <w:rPr>
                <w:b/>
                <w:bCs/>
                <w:kern w:val="0"/>
                <w:sz w:val="20"/>
                <w:szCs w:val="21"/>
              </w:rPr>
              <w:t xml:space="preserve">旅游交通 </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b/>
                <w:bCs/>
                <w:color w:val="000000"/>
                <w:kern w:val="0"/>
                <w:sz w:val="20"/>
                <w:szCs w:val="21"/>
              </w:rPr>
              <w:t>90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b/>
                <w:bCs/>
                <w:kern w:val="0"/>
                <w:sz w:val="20"/>
                <w:szCs w:val="21"/>
              </w:rPr>
              <w:t xml:space="preserve">1.3.1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外部交通设施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 xml:space="preserve">1.3.1.1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可进入性好，宜有城市公交或旅游专线车直达。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15</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 xml:space="preserve">1.3.1.2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外部道路的交通标志和标线应符合GB 5768.2 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b/>
                <w:bCs/>
                <w:kern w:val="0"/>
                <w:sz w:val="20"/>
                <w:szCs w:val="21"/>
              </w:rPr>
              <w:t>1.3.2</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内部交通设施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35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1.3.2.1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游览线路设置应合理。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15</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1.3.2.2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宜配备用于内部交通的电瓶车等绿色环保专用车辆。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5</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1.3.2.3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在主要节点的醒目位置应设有指引标识牌，标识牌应布局合理，能够有效指引方向。公共信息图形符号应符合 GB/T 10001.1 和 GB/T 10001.2 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15</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b/>
                <w:bCs/>
                <w:kern w:val="0"/>
                <w:sz w:val="20"/>
                <w:szCs w:val="21"/>
              </w:rPr>
              <w:t xml:space="preserve">1.3.3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停车场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30</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1.3.3.1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应有与接待能力相匹配且有专人管理或智能化管理的专用停车场，或在200m内有能提供停车服务的社会停车场。停车场场地绿色生态、平整坚实、清洁美观。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1.3.3.2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停车场标志规范、醒目，导向系统完善，游客车辆进出通道应方便、通畅。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1.4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游览设施 </w:t>
            </w:r>
          </w:p>
        </w:tc>
        <w:tc>
          <w:tcPr>
            <w:tcW w:w="700" w:type="dxa"/>
            <w:vAlign w:val="center"/>
          </w:tcPr>
          <w:p>
            <w:pPr>
              <w:widowControl/>
              <w:rPr>
                <w:b/>
                <w:bCs/>
                <w:color w:val="000000"/>
                <w:kern w:val="0"/>
                <w:sz w:val="20"/>
                <w:szCs w:val="21"/>
              </w:rPr>
            </w:pPr>
          </w:p>
        </w:tc>
        <w:tc>
          <w:tcPr>
            <w:tcW w:w="611" w:type="dxa"/>
            <w:vAlign w:val="center"/>
          </w:tcPr>
          <w:p>
            <w:pPr>
              <w:widowControl/>
              <w:rPr>
                <w:b/>
                <w:bCs/>
                <w:color w:val="000000"/>
                <w:kern w:val="0"/>
                <w:sz w:val="20"/>
                <w:szCs w:val="21"/>
              </w:rPr>
            </w:pPr>
            <w:r>
              <w:rPr>
                <w:b/>
                <w:bCs/>
                <w:color w:val="000000"/>
                <w:kern w:val="0"/>
                <w:sz w:val="20"/>
                <w:szCs w:val="21"/>
              </w:rPr>
              <w:t>2</w:t>
            </w:r>
            <w:r>
              <w:rPr>
                <w:rFonts w:hint="eastAsia"/>
                <w:b/>
                <w:bCs/>
                <w:color w:val="000000"/>
                <w:kern w:val="0"/>
                <w:sz w:val="20"/>
                <w:szCs w:val="21"/>
              </w:rPr>
              <w:t>0</w:t>
            </w:r>
            <w:r>
              <w:rPr>
                <w:b/>
                <w:bCs/>
                <w:color w:val="000000"/>
                <w:kern w:val="0"/>
                <w:sz w:val="20"/>
                <w:szCs w:val="21"/>
              </w:rPr>
              <w:t>0</w:t>
            </w:r>
          </w:p>
        </w:tc>
        <w:tc>
          <w:tcPr>
            <w:tcW w:w="598" w:type="dxa"/>
            <w:vAlign w:val="center"/>
          </w:tcPr>
          <w:p>
            <w:pPr>
              <w:widowControl/>
              <w:rPr>
                <w:b/>
                <w:bCs/>
                <w:color w:val="000000"/>
                <w:kern w:val="0"/>
                <w:sz w:val="20"/>
                <w:szCs w:val="21"/>
              </w:rPr>
            </w:pPr>
          </w:p>
        </w:tc>
        <w:tc>
          <w:tcPr>
            <w:tcW w:w="595" w:type="dxa"/>
            <w:vAlign w:val="center"/>
          </w:tcPr>
          <w:p>
            <w:pPr>
              <w:widowControl/>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b/>
                <w:bCs/>
                <w:kern w:val="0"/>
                <w:sz w:val="20"/>
                <w:szCs w:val="21"/>
              </w:rPr>
              <w:t xml:space="preserve">1.4.1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旅游接待设施 </w:t>
            </w:r>
          </w:p>
        </w:tc>
        <w:tc>
          <w:tcPr>
            <w:tcW w:w="700" w:type="dxa"/>
            <w:vAlign w:val="center"/>
          </w:tcPr>
          <w:p>
            <w:pPr>
              <w:widowControl/>
              <w:rPr>
                <w:color w:val="000000"/>
                <w:kern w:val="0"/>
                <w:sz w:val="20"/>
                <w:szCs w:val="21"/>
              </w:rPr>
            </w:pPr>
          </w:p>
        </w:tc>
        <w:tc>
          <w:tcPr>
            <w:tcW w:w="611" w:type="dxa"/>
            <w:vAlign w:val="center"/>
          </w:tcPr>
          <w:p>
            <w:pPr>
              <w:widowControl/>
              <w:rPr>
                <w:color w:val="000000"/>
                <w:kern w:val="0"/>
                <w:sz w:val="20"/>
                <w:szCs w:val="21"/>
              </w:rPr>
            </w:pPr>
          </w:p>
        </w:tc>
        <w:tc>
          <w:tcPr>
            <w:tcW w:w="598" w:type="dxa"/>
            <w:vAlign w:val="center"/>
          </w:tcPr>
          <w:p>
            <w:pPr>
              <w:widowControl/>
              <w:rPr>
                <w:color w:val="000000"/>
                <w:kern w:val="0"/>
                <w:sz w:val="20"/>
                <w:szCs w:val="21"/>
              </w:rPr>
            </w:pPr>
            <w:r>
              <w:rPr>
                <w:rFonts w:hint="eastAsia"/>
                <w:color w:val="000000"/>
                <w:kern w:val="0"/>
                <w:sz w:val="20"/>
                <w:szCs w:val="21"/>
              </w:rPr>
              <w:t>8</w:t>
            </w:r>
            <w:r>
              <w:rPr>
                <w:color w:val="000000"/>
                <w:kern w:val="0"/>
                <w:sz w:val="20"/>
                <w:szCs w:val="21"/>
              </w:rPr>
              <w:t>0</w:t>
            </w:r>
          </w:p>
        </w:tc>
        <w:tc>
          <w:tcPr>
            <w:tcW w:w="595" w:type="dxa"/>
            <w:vAlign w:val="center"/>
          </w:tcPr>
          <w:p>
            <w:pPr>
              <w:widowControl/>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1.4.1.1</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应设有规模适宜的游客服务中心，位置合理、标识醒目、设施齐全、功能完备。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3</w:t>
            </w:r>
            <w:r>
              <w:rPr>
                <w:color w:val="000000"/>
                <w:kern w:val="0"/>
                <w:sz w:val="24"/>
              </w:rPr>
              <w:t>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1.4.1.2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应提供旅游咨询服务，服务人员数量合理、服务热情、着装统一。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1.4.1.3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 xml:space="preserve">应设有游客休憩区域，宜提供饮水或饮料服务。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1.4.1.4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 xml:space="preserve">应提供游览区介绍和导览图，以及相关宣传资料。宜设有触摸屏和视频播放设施，向游客系统地介绍示范区的各类信息。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1.4.1.5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应在醒目位置公布游客参观及活动的注意事项，明示服务内容和收费信息。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0"/>
                <w:szCs w:val="21"/>
              </w:rPr>
            </w:pPr>
            <w:r>
              <w:rPr>
                <w:b/>
                <w:bCs/>
                <w:kern w:val="0"/>
                <w:sz w:val="20"/>
                <w:szCs w:val="21"/>
              </w:rPr>
              <w:t xml:space="preserve">1.4.2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游览区域 </w:t>
            </w:r>
          </w:p>
        </w:tc>
        <w:tc>
          <w:tcPr>
            <w:tcW w:w="700" w:type="dxa"/>
          </w:tcPr>
          <w:p>
            <w:pPr>
              <w:widowControl/>
              <w:spacing w:line="360" w:lineRule="auto"/>
              <w:jc w:val="left"/>
              <w:rPr>
                <w:color w:val="000000"/>
                <w:kern w:val="0"/>
                <w:sz w:val="20"/>
                <w:szCs w:val="21"/>
              </w:rPr>
            </w:pPr>
          </w:p>
        </w:tc>
        <w:tc>
          <w:tcPr>
            <w:tcW w:w="611" w:type="dxa"/>
          </w:tcPr>
          <w:p>
            <w:pPr>
              <w:widowControl/>
              <w:spacing w:line="360" w:lineRule="auto"/>
              <w:jc w:val="center"/>
              <w:rPr>
                <w:color w:val="000000"/>
                <w:kern w:val="0"/>
                <w:sz w:val="20"/>
                <w:szCs w:val="21"/>
              </w:rPr>
            </w:pPr>
          </w:p>
        </w:tc>
        <w:tc>
          <w:tcPr>
            <w:tcW w:w="598" w:type="dxa"/>
          </w:tcPr>
          <w:p>
            <w:pPr>
              <w:widowControl/>
              <w:spacing w:line="360" w:lineRule="auto"/>
              <w:jc w:val="center"/>
              <w:rPr>
                <w:color w:val="000000"/>
                <w:kern w:val="0"/>
                <w:sz w:val="20"/>
                <w:szCs w:val="21"/>
              </w:rPr>
            </w:pPr>
            <w:r>
              <w:rPr>
                <w:color w:val="000000"/>
                <w:kern w:val="0"/>
                <w:sz w:val="20"/>
                <w:szCs w:val="21"/>
              </w:rPr>
              <w:t>55</w:t>
            </w:r>
          </w:p>
        </w:tc>
        <w:tc>
          <w:tcPr>
            <w:tcW w:w="595" w:type="dxa"/>
          </w:tcPr>
          <w:p>
            <w:pPr>
              <w:widowControl/>
              <w:spacing w:line="360" w:lineRule="auto"/>
              <w:jc w:val="center"/>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21" w:type="dxa"/>
            <w:vAlign w:val="center"/>
          </w:tcPr>
          <w:p>
            <w:pPr>
              <w:widowControl/>
              <w:spacing w:line="360" w:lineRule="auto"/>
              <w:rPr>
                <w:color w:val="000000"/>
                <w:kern w:val="0"/>
                <w:sz w:val="24"/>
              </w:rPr>
            </w:pPr>
            <w:r>
              <w:rPr>
                <w:kern w:val="0"/>
                <w:sz w:val="20"/>
                <w:szCs w:val="21"/>
              </w:rPr>
              <w:t xml:space="preserve">1.4.2.1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游览区域功能分区合理、环境优美，宜配备无障碍设施，无障碍设施应符合 GB 50763 的规定，无障碍设施符号应符合 GB/T 10001.9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21" w:type="dxa"/>
            <w:vAlign w:val="center"/>
          </w:tcPr>
          <w:p>
            <w:pPr>
              <w:widowControl/>
              <w:spacing w:line="360" w:lineRule="auto"/>
              <w:rPr>
                <w:color w:val="000000"/>
                <w:kern w:val="0"/>
                <w:sz w:val="24"/>
              </w:rPr>
            </w:pPr>
            <w:r>
              <w:rPr>
                <w:kern w:val="0"/>
                <w:sz w:val="20"/>
                <w:szCs w:val="21"/>
              </w:rPr>
              <w:t xml:space="preserve">1.4.2.2 </w:t>
            </w:r>
          </w:p>
        </w:tc>
        <w:tc>
          <w:tcPr>
            <w:tcW w:w="4477" w:type="dxa"/>
            <w:shd w:val="clear" w:color="auto" w:fill="auto"/>
            <w:vAlign w:val="center"/>
          </w:tcPr>
          <w:p>
            <w:pPr>
              <w:pStyle w:val="19"/>
              <w:spacing w:before="156" w:after="156"/>
              <w:rPr>
                <w:rFonts w:ascii="Times New Roman" w:eastAsia="宋体"/>
                <w:color w:val="000000"/>
                <w:kern w:val="2"/>
                <w:sz w:val="20"/>
              </w:rPr>
            </w:pPr>
            <w:r>
              <w:rPr>
                <w:rFonts w:ascii="Times New Roman" w:eastAsia="宋体"/>
                <w:sz w:val="20"/>
              </w:rPr>
              <w:t xml:space="preserve">游览线路设置合理，游览活动安排科学，游览区域内容丰富，能提供产品实物、生产流程、厂景厂貌、科技成果等形式多样的展示 </w:t>
            </w:r>
          </w:p>
        </w:tc>
        <w:tc>
          <w:tcPr>
            <w:tcW w:w="700" w:type="dxa"/>
            <w:shd w:val="clear" w:color="auto" w:fill="auto"/>
            <w:vAlign w:val="center"/>
          </w:tcPr>
          <w:p>
            <w:pPr>
              <w:widowControl/>
              <w:spacing w:line="360" w:lineRule="auto"/>
              <w:rPr>
                <w:color w:val="000000"/>
                <w:kern w:val="0"/>
                <w:sz w:val="24"/>
              </w:rPr>
            </w:pPr>
          </w:p>
        </w:tc>
        <w:tc>
          <w:tcPr>
            <w:tcW w:w="611" w:type="dxa"/>
            <w:shd w:val="clear" w:color="auto" w:fill="auto"/>
            <w:vAlign w:val="center"/>
          </w:tcPr>
          <w:p>
            <w:pPr>
              <w:widowControl/>
              <w:spacing w:line="360" w:lineRule="auto"/>
              <w:jc w:val="center"/>
              <w:rPr>
                <w:color w:val="000000"/>
                <w:kern w:val="0"/>
                <w:sz w:val="24"/>
              </w:rPr>
            </w:pPr>
          </w:p>
        </w:tc>
        <w:tc>
          <w:tcPr>
            <w:tcW w:w="598" w:type="dxa"/>
            <w:shd w:val="clear" w:color="auto" w:fill="auto"/>
            <w:vAlign w:val="center"/>
          </w:tcPr>
          <w:p>
            <w:pPr>
              <w:widowControl/>
              <w:spacing w:line="360" w:lineRule="auto"/>
              <w:jc w:val="center"/>
              <w:rPr>
                <w:color w:val="000000"/>
                <w:kern w:val="0"/>
                <w:sz w:val="24"/>
              </w:rPr>
            </w:pPr>
          </w:p>
        </w:tc>
        <w:tc>
          <w:tcPr>
            <w:tcW w:w="595" w:type="dxa"/>
            <w:shd w:val="clear" w:color="auto" w:fill="auto"/>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kern w:val="0"/>
                <w:sz w:val="20"/>
                <w:szCs w:val="21"/>
              </w:rPr>
            </w:pPr>
            <w:r>
              <w:rPr>
                <w:kern w:val="0"/>
                <w:sz w:val="20"/>
                <w:szCs w:val="21"/>
              </w:rPr>
              <w:t>1.4.2.3</w:t>
            </w:r>
          </w:p>
        </w:tc>
        <w:tc>
          <w:tcPr>
            <w:tcW w:w="4477" w:type="dxa"/>
            <w:shd w:val="clear" w:color="auto" w:fill="auto"/>
            <w:vAlign w:val="center"/>
          </w:tcPr>
          <w:p>
            <w:pPr>
              <w:pStyle w:val="19"/>
              <w:spacing w:before="156" w:after="156"/>
              <w:rPr>
                <w:rFonts w:ascii="Times New Roman" w:eastAsia="宋体"/>
                <w:kern w:val="2"/>
                <w:sz w:val="20"/>
              </w:rPr>
            </w:pPr>
            <w:r>
              <w:rPr>
                <w:rFonts w:ascii="Times New Roman" w:eastAsia="宋体"/>
                <w:sz w:val="20"/>
              </w:rPr>
              <w:t>介绍说明牌（全景图、导览图、标识牌、介绍牌等）美观大方、有文化特色，宜有中外文对照；根据情况设立必要的安全提示牌和环保提示牌。</w:t>
            </w:r>
          </w:p>
        </w:tc>
        <w:tc>
          <w:tcPr>
            <w:tcW w:w="700" w:type="dxa"/>
            <w:shd w:val="clear" w:color="auto" w:fill="auto"/>
            <w:vAlign w:val="center"/>
          </w:tcPr>
          <w:p>
            <w:pPr>
              <w:widowControl/>
              <w:spacing w:line="360" w:lineRule="auto"/>
              <w:rPr>
                <w:color w:val="000000"/>
                <w:kern w:val="0"/>
                <w:sz w:val="24"/>
              </w:rPr>
            </w:pPr>
          </w:p>
        </w:tc>
        <w:tc>
          <w:tcPr>
            <w:tcW w:w="611" w:type="dxa"/>
            <w:shd w:val="clear" w:color="auto" w:fill="auto"/>
            <w:vAlign w:val="center"/>
          </w:tcPr>
          <w:p>
            <w:pPr>
              <w:widowControl/>
              <w:spacing w:line="360" w:lineRule="auto"/>
              <w:jc w:val="center"/>
              <w:rPr>
                <w:color w:val="000000"/>
                <w:kern w:val="0"/>
                <w:sz w:val="24"/>
              </w:rPr>
            </w:pPr>
          </w:p>
        </w:tc>
        <w:tc>
          <w:tcPr>
            <w:tcW w:w="598" w:type="dxa"/>
            <w:shd w:val="clear" w:color="auto" w:fill="auto"/>
            <w:vAlign w:val="center"/>
          </w:tcPr>
          <w:p>
            <w:pPr>
              <w:widowControl/>
              <w:spacing w:line="360" w:lineRule="auto"/>
              <w:jc w:val="center"/>
              <w:rPr>
                <w:color w:val="000000"/>
                <w:kern w:val="0"/>
                <w:sz w:val="24"/>
              </w:rPr>
            </w:pPr>
          </w:p>
        </w:tc>
        <w:tc>
          <w:tcPr>
            <w:tcW w:w="595" w:type="dxa"/>
            <w:shd w:val="clear" w:color="auto" w:fill="auto"/>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1.4.2.4 </w:t>
            </w:r>
          </w:p>
        </w:tc>
        <w:tc>
          <w:tcPr>
            <w:tcW w:w="4477" w:type="dxa"/>
            <w:vAlign w:val="center"/>
          </w:tcPr>
          <w:p>
            <w:pPr>
              <w:pStyle w:val="19"/>
              <w:spacing w:before="156" w:after="156"/>
              <w:rPr>
                <w:rFonts w:ascii="Times New Roman"/>
                <w:color w:val="000000"/>
                <w:kern w:val="2"/>
                <w:sz w:val="20"/>
              </w:rPr>
            </w:pPr>
            <w:r>
              <w:rPr>
                <w:rFonts w:ascii="Times New Roman" w:eastAsia="宋体"/>
                <w:sz w:val="20"/>
              </w:rPr>
              <w:t xml:space="preserve">参观游览活动具有互动性和参与性，活动内容应丰富有趣、形式多样。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tcPr>
          <w:p>
            <w:pPr>
              <w:widowControl/>
              <w:spacing w:line="360" w:lineRule="auto"/>
              <w:jc w:val="left"/>
              <w:rPr>
                <w:color w:val="000000"/>
                <w:kern w:val="0"/>
                <w:sz w:val="20"/>
                <w:szCs w:val="21"/>
              </w:rPr>
            </w:pPr>
            <w:r>
              <w:rPr>
                <w:b/>
                <w:bCs/>
                <w:kern w:val="0"/>
                <w:sz w:val="20"/>
                <w:szCs w:val="21"/>
              </w:rPr>
              <w:t xml:space="preserve">1.4.3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接待能力 </w:t>
            </w:r>
          </w:p>
        </w:tc>
        <w:tc>
          <w:tcPr>
            <w:tcW w:w="700" w:type="dxa"/>
          </w:tcPr>
          <w:p>
            <w:pPr>
              <w:widowControl/>
              <w:spacing w:line="360" w:lineRule="auto"/>
              <w:jc w:val="left"/>
              <w:rPr>
                <w:color w:val="000000"/>
                <w:kern w:val="0"/>
                <w:sz w:val="20"/>
                <w:szCs w:val="21"/>
              </w:rPr>
            </w:pPr>
          </w:p>
        </w:tc>
        <w:tc>
          <w:tcPr>
            <w:tcW w:w="611" w:type="dxa"/>
          </w:tcPr>
          <w:p>
            <w:pPr>
              <w:widowControl/>
              <w:spacing w:line="360" w:lineRule="auto"/>
              <w:jc w:val="center"/>
              <w:rPr>
                <w:color w:val="000000"/>
                <w:kern w:val="0"/>
                <w:sz w:val="20"/>
                <w:szCs w:val="21"/>
              </w:rPr>
            </w:pPr>
          </w:p>
        </w:tc>
        <w:tc>
          <w:tcPr>
            <w:tcW w:w="598" w:type="dxa"/>
          </w:tcPr>
          <w:p>
            <w:pPr>
              <w:widowControl/>
              <w:spacing w:line="360" w:lineRule="auto"/>
              <w:jc w:val="center"/>
              <w:rPr>
                <w:color w:val="000000"/>
                <w:kern w:val="0"/>
                <w:sz w:val="20"/>
                <w:szCs w:val="21"/>
              </w:rPr>
            </w:pPr>
            <w:r>
              <w:rPr>
                <w:color w:val="000000"/>
                <w:kern w:val="0"/>
                <w:sz w:val="20"/>
                <w:szCs w:val="21"/>
              </w:rPr>
              <w:t>35</w:t>
            </w:r>
          </w:p>
        </w:tc>
        <w:tc>
          <w:tcPr>
            <w:tcW w:w="595" w:type="dxa"/>
          </w:tcPr>
          <w:p>
            <w:pPr>
              <w:widowControl/>
              <w:spacing w:line="360" w:lineRule="auto"/>
              <w:jc w:val="center"/>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1.4.3.1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单次接待能力应根据承载量进行合理设置，不影响游客的游览体验。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1.4.3.2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开放时间应固定，能满足游客的旅游需求。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1.4.3.3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应具备一定规模的年接待能力和单次接待能力。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1.4.3.4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应有以预约参观为主的接待措施和应对高峰时期客流激增等突发状况的应急预案。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0"/>
                <w:szCs w:val="21"/>
              </w:rPr>
            </w:pPr>
            <w:r>
              <w:rPr>
                <w:b/>
                <w:bCs/>
                <w:kern w:val="0"/>
                <w:sz w:val="20"/>
                <w:szCs w:val="21"/>
              </w:rPr>
              <w:t xml:space="preserve">1.4.4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购物设施 </w:t>
            </w:r>
          </w:p>
        </w:tc>
        <w:tc>
          <w:tcPr>
            <w:tcW w:w="700" w:type="dxa"/>
          </w:tcPr>
          <w:p>
            <w:pPr>
              <w:widowControl/>
              <w:spacing w:line="360" w:lineRule="auto"/>
              <w:jc w:val="left"/>
              <w:rPr>
                <w:color w:val="000000"/>
                <w:kern w:val="0"/>
                <w:sz w:val="20"/>
                <w:szCs w:val="21"/>
              </w:rPr>
            </w:pPr>
          </w:p>
        </w:tc>
        <w:tc>
          <w:tcPr>
            <w:tcW w:w="611" w:type="dxa"/>
          </w:tcPr>
          <w:p>
            <w:pPr>
              <w:widowControl/>
              <w:spacing w:line="360" w:lineRule="auto"/>
              <w:jc w:val="center"/>
              <w:rPr>
                <w:color w:val="000000"/>
                <w:kern w:val="0"/>
                <w:sz w:val="20"/>
                <w:szCs w:val="21"/>
              </w:rPr>
            </w:pPr>
          </w:p>
        </w:tc>
        <w:tc>
          <w:tcPr>
            <w:tcW w:w="598" w:type="dxa"/>
          </w:tcPr>
          <w:p>
            <w:pPr>
              <w:widowControl/>
              <w:spacing w:line="360" w:lineRule="auto"/>
              <w:jc w:val="center"/>
              <w:rPr>
                <w:color w:val="000000"/>
                <w:kern w:val="0"/>
                <w:sz w:val="20"/>
                <w:szCs w:val="21"/>
              </w:rPr>
            </w:pPr>
            <w:r>
              <w:rPr>
                <w:color w:val="000000"/>
                <w:kern w:val="0"/>
                <w:sz w:val="20"/>
                <w:szCs w:val="21"/>
              </w:rPr>
              <w:t>30</w:t>
            </w:r>
          </w:p>
        </w:tc>
        <w:tc>
          <w:tcPr>
            <w:tcW w:w="595" w:type="dxa"/>
          </w:tcPr>
          <w:p>
            <w:pPr>
              <w:widowControl/>
              <w:spacing w:line="360" w:lineRule="auto"/>
              <w:jc w:val="center"/>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应有场所固定、面积适宜的购物区域，购物场所布局合理，建筑造型、色彩、材质与环境较协调。</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对购物场所和从业人员进行统一管理，整体环境整洁，秩序良好，明码标价，无假冒伪劣商品，无围追兜售、强买强卖现象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1.4.4.3 </w:t>
            </w:r>
          </w:p>
        </w:tc>
        <w:tc>
          <w:tcPr>
            <w:tcW w:w="4477" w:type="dxa"/>
            <w:vAlign w:val="center"/>
          </w:tcPr>
          <w:p>
            <w:pPr>
              <w:pStyle w:val="19"/>
              <w:spacing w:before="156" w:after="156"/>
              <w:rPr>
                <w:rFonts w:ascii="Times New Roman" w:eastAsia="宋体"/>
                <w:color w:val="000000"/>
                <w:kern w:val="2"/>
                <w:sz w:val="20"/>
              </w:rPr>
            </w:pPr>
            <w:r>
              <w:rPr>
                <w:rFonts w:ascii="Times New Roman" w:eastAsia="宋体"/>
                <w:sz w:val="20"/>
              </w:rPr>
              <w:t xml:space="preserve">旅游商品种类丰富，能结合自身特点积极开发特色旅游商品和文创产品。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购物场所商品销售人员业务熟练、服务热情。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1.4.4.5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根据游客需要，可提供预订预购和商品邮寄等特色服务。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1.5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卫生设施及环境质量 </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rFonts w:hint="eastAsia"/>
                <w:b/>
                <w:bCs/>
                <w:color w:val="000000"/>
                <w:kern w:val="0"/>
                <w:sz w:val="20"/>
                <w:szCs w:val="21"/>
              </w:rPr>
              <w:t>8</w:t>
            </w:r>
            <w:r>
              <w:rPr>
                <w:b/>
                <w:bCs/>
                <w:color w:val="000000"/>
                <w:kern w:val="0"/>
                <w:sz w:val="20"/>
                <w:szCs w:val="21"/>
              </w:rPr>
              <w:t>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rPr>
                <w:color w:val="000000"/>
                <w:kern w:val="0"/>
                <w:sz w:val="20"/>
                <w:szCs w:val="21"/>
              </w:rPr>
            </w:pPr>
            <w:r>
              <w:rPr>
                <w:b/>
                <w:bCs/>
                <w:kern w:val="0"/>
                <w:sz w:val="20"/>
                <w:szCs w:val="21"/>
              </w:rPr>
              <w:t xml:space="preserve">1.5.1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卫生间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30</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1.5.1.1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卫生间应布局合理，标识醒目，男女厕位比例合理，数量能够满足需求。设施设备完好，建设要求应符合GB/T 18973的规定。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1.5.1.2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 xml:space="preserve">有方便特殊人群使用的设施，设施应符合GB 50763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1.5.2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卫生环境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rFonts w:hint="eastAsia"/>
                <w:color w:val="000000"/>
                <w:kern w:val="0"/>
                <w:sz w:val="20"/>
                <w:szCs w:val="21"/>
              </w:rPr>
              <w:t>5</w:t>
            </w:r>
            <w:r>
              <w:rPr>
                <w:color w:val="000000"/>
                <w:kern w:val="0"/>
                <w:sz w:val="20"/>
                <w:szCs w:val="21"/>
              </w:rPr>
              <w:t>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1.5.2.1 </w:t>
            </w:r>
          </w:p>
        </w:tc>
        <w:tc>
          <w:tcPr>
            <w:tcW w:w="4477" w:type="dxa"/>
            <w:vAlign w:val="center"/>
          </w:tcPr>
          <w:p>
            <w:pPr>
              <w:pStyle w:val="19"/>
              <w:spacing w:before="156" w:after="156"/>
              <w:rPr>
                <w:rFonts w:ascii="Times New Roman" w:eastAsia="宋体"/>
                <w:color w:val="000000"/>
                <w:kern w:val="2"/>
                <w:sz w:val="20"/>
              </w:rPr>
            </w:pPr>
            <w:r>
              <w:rPr>
                <w:rFonts w:ascii="Times New Roman" w:eastAsia="宋体"/>
                <w:sz w:val="20"/>
              </w:rPr>
              <w:t xml:space="preserve">游览区域内环境卫生维护有效。建筑风貌与整体环境相协调。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1.5.2.2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垃圾箱布置应与环境相协调。采用分类式垃圾箱，采用环保材料制造，造型有特点，数量充足。垃圾清理应及时，日产日清。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1.5.2.3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文化娱乐设施卫生应符合GB 9664的规定。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1.5.2.4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卫生责任制度和卫生检查制度应健全，应落实环保责任人，定期进行卫生检查。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1.5.2.5 </w:t>
            </w:r>
          </w:p>
        </w:tc>
        <w:tc>
          <w:tcPr>
            <w:tcW w:w="4477" w:type="dxa"/>
            <w:vAlign w:val="center"/>
          </w:tcPr>
          <w:p>
            <w:pPr>
              <w:pStyle w:val="19"/>
              <w:snapToGrid w:val="0"/>
              <w:spacing w:beforeLines="0" w:afterLines="0"/>
              <w:rPr>
                <w:rFonts w:ascii="Times New Roman" w:eastAsia="宋体"/>
                <w:color w:val="000000"/>
                <w:kern w:val="2"/>
                <w:sz w:val="20"/>
              </w:rPr>
            </w:pPr>
            <w:r>
              <w:rPr>
                <w:rFonts w:hint="eastAsia" w:ascii="Times New Roman" w:eastAsia="宋体"/>
                <w:sz w:val="20"/>
              </w:rPr>
              <w:t>可根据实际提供规模适度的食品销售和餐饮服务，设施外观和建筑风格与游览区内环境相协调，宜提供本土特色的产品。食品销售和餐饮服务经营者应持有效证照合法经营，食品安全应符合国家规定；餐饮服务配备相应消毒保洁设施，不使用对环境造成污染的一次性餐饮具。</w:t>
            </w:r>
            <w:r>
              <w:rPr>
                <w:rFonts w:ascii="Times New Roman" w:eastAsia="宋体"/>
                <w:sz w:val="20"/>
              </w:rPr>
              <w:t xml:space="preserve">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1.5.2.6 </w:t>
            </w:r>
          </w:p>
        </w:tc>
        <w:tc>
          <w:tcPr>
            <w:tcW w:w="4477" w:type="dxa"/>
            <w:vAlign w:val="center"/>
          </w:tcPr>
          <w:p>
            <w:pPr>
              <w:pStyle w:val="20"/>
              <w:widowControl w:val="0"/>
              <w:snapToGrid w:val="0"/>
              <w:ind w:firstLine="0" w:firstLineChars="0"/>
              <w:rPr>
                <w:rFonts w:ascii="Times New Roman"/>
                <w:color w:val="000000"/>
                <w:sz w:val="20"/>
                <w:szCs w:val="21"/>
              </w:rPr>
            </w:pPr>
            <w:r>
              <w:rPr>
                <w:rFonts w:ascii="Times New Roman"/>
                <w:sz w:val="20"/>
                <w:szCs w:val="21"/>
              </w:rPr>
              <w:t>应提倡文明用餐，餐饮场所有制止餐饮浪费行为的宣传提示和措施，有效引导、提醒和督促游客节约饮食和绿色消费。</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b/>
                <w:bCs/>
                <w:color w:val="000000"/>
                <w:kern w:val="0"/>
                <w:sz w:val="20"/>
                <w:szCs w:val="21"/>
              </w:rPr>
            </w:pPr>
            <w:r>
              <w:rPr>
                <w:b/>
                <w:bCs/>
                <w:kern w:val="0"/>
                <w:sz w:val="20"/>
                <w:szCs w:val="21"/>
              </w:rPr>
              <w:t xml:space="preserve">1.6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游览服务 </w:t>
            </w:r>
          </w:p>
        </w:tc>
        <w:tc>
          <w:tcPr>
            <w:tcW w:w="700" w:type="dxa"/>
          </w:tcPr>
          <w:p>
            <w:pPr>
              <w:widowControl/>
              <w:jc w:val="left"/>
              <w:rPr>
                <w:b/>
                <w:bCs/>
                <w:color w:val="000000"/>
                <w:kern w:val="0"/>
                <w:sz w:val="20"/>
                <w:szCs w:val="21"/>
              </w:rPr>
            </w:pPr>
          </w:p>
        </w:tc>
        <w:tc>
          <w:tcPr>
            <w:tcW w:w="611" w:type="dxa"/>
          </w:tcPr>
          <w:p>
            <w:pPr>
              <w:widowControl/>
              <w:jc w:val="center"/>
              <w:rPr>
                <w:b/>
                <w:bCs/>
                <w:color w:val="000000"/>
                <w:kern w:val="0"/>
                <w:sz w:val="20"/>
                <w:szCs w:val="21"/>
              </w:rPr>
            </w:pPr>
            <w:r>
              <w:rPr>
                <w:b/>
                <w:bCs/>
                <w:color w:val="000000"/>
                <w:kern w:val="0"/>
                <w:sz w:val="20"/>
                <w:szCs w:val="21"/>
              </w:rPr>
              <w:t>70</w:t>
            </w:r>
          </w:p>
        </w:tc>
        <w:tc>
          <w:tcPr>
            <w:tcW w:w="598" w:type="dxa"/>
          </w:tcPr>
          <w:p>
            <w:pPr>
              <w:widowControl/>
              <w:jc w:val="center"/>
              <w:rPr>
                <w:b/>
                <w:bCs/>
                <w:color w:val="000000"/>
                <w:kern w:val="0"/>
                <w:sz w:val="20"/>
                <w:szCs w:val="21"/>
              </w:rPr>
            </w:pPr>
          </w:p>
        </w:tc>
        <w:tc>
          <w:tcPr>
            <w:tcW w:w="595" w:type="dxa"/>
          </w:tcPr>
          <w:p>
            <w:pPr>
              <w:widowControl/>
              <w:jc w:val="center"/>
              <w:rPr>
                <w:b/>
                <w:bCs/>
                <w:color w:val="000000"/>
                <w:kern w:val="0"/>
                <w:sz w:val="20"/>
                <w:szCs w:val="21"/>
              </w:rPr>
            </w:pPr>
          </w:p>
        </w:tc>
        <w:tc>
          <w:tcPr>
            <w:tcW w:w="520" w:type="dxa"/>
          </w:tcPr>
          <w:p>
            <w:pPr>
              <w:widowControl/>
              <w:jc w:val="left"/>
              <w:rPr>
                <w:b/>
                <w:bCs/>
                <w:color w:val="000000"/>
                <w:kern w:val="0"/>
                <w:sz w:val="20"/>
                <w:szCs w:val="21"/>
              </w:rPr>
            </w:pPr>
          </w:p>
        </w:tc>
        <w:tc>
          <w:tcPr>
            <w:tcW w:w="520" w:type="dxa"/>
          </w:tcPr>
          <w:p>
            <w:pPr>
              <w:widowControl/>
              <w:jc w:val="left"/>
              <w:rPr>
                <w:b/>
                <w:bCs/>
                <w:color w:val="000000"/>
                <w:kern w:val="0"/>
                <w:sz w:val="20"/>
                <w:szCs w:val="21"/>
              </w:rPr>
            </w:pPr>
          </w:p>
        </w:tc>
        <w:tc>
          <w:tcPr>
            <w:tcW w:w="520" w:type="dxa"/>
          </w:tcPr>
          <w:p>
            <w:pPr>
              <w:widowControl/>
              <w:jc w:val="left"/>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1.6.1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人性化服务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color w:val="000000"/>
                <w:kern w:val="0"/>
                <w:sz w:val="20"/>
                <w:szCs w:val="21"/>
              </w:rPr>
              <w:t>20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1.6.1.1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应为特定人群（残疾人、老年人、未成年人等）提供便利和优惠，配备无障碍通道、无障碍厕位、</w:t>
            </w:r>
            <w:r>
              <w:rPr>
                <w:rFonts w:hint="eastAsia" w:ascii="Times New Roman" w:eastAsia="宋体"/>
                <w:sz w:val="20"/>
              </w:rPr>
              <w:t>无障碍停车位、母婴室、</w:t>
            </w:r>
            <w:r>
              <w:rPr>
                <w:rFonts w:ascii="Times New Roman" w:eastAsia="宋体"/>
                <w:sz w:val="20"/>
              </w:rPr>
              <w:t>轮椅、拐杖、童车等设施与工具，并提供</w:t>
            </w:r>
            <w:r>
              <w:rPr>
                <w:rFonts w:hint="eastAsia" w:ascii="Times New Roman" w:eastAsia="宋体"/>
                <w:sz w:val="20"/>
              </w:rPr>
              <w:t>人性化</w:t>
            </w:r>
            <w:r>
              <w:rPr>
                <w:rFonts w:ascii="Times New Roman" w:eastAsia="宋体"/>
                <w:sz w:val="20"/>
              </w:rPr>
              <w:t xml:space="preserve">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1.6.1.2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宜为游客提供个性化、定制化的特色服务。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1.6.2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讲解服务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color w:val="000000"/>
                <w:kern w:val="0"/>
                <w:sz w:val="20"/>
                <w:szCs w:val="21"/>
              </w:rPr>
              <w:t>50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1.6.2.1 </w:t>
            </w:r>
          </w:p>
        </w:tc>
        <w:tc>
          <w:tcPr>
            <w:tcW w:w="4477" w:type="dxa"/>
            <w:vAlign w:val="center"/>
          </w:tcPr>
          <w:p>
            <w:pPr>
              <w:pStyle w:val="19"/>
              <w:spacing w:before="156" w:after="156"/>
              <w:rPr>
                <w:rFonts w:ascii="Times New Roman" w:eastAsia="宋体"/>
                <w:color w:val="000000"/>
                <w:kern w:val="2"/>
                <w:sz w:val="20"/>
              </w:rPr>
            </w:pPr>
            <w:r>
              <w:rPr>
                <w:rFonts w:ascii="Times New Roman" w:eastAsia="宋体"/>
                <w:sz w:val="20"/>
              </w:rPr>
              <w:t xml:space="preserve">讲解员应经过专门培训，普通话达标，人数及语种应能满足游客需要。讲解语言规范，讲解服务态度热情，行为有度，讲解服务质量符合GB/T 15971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1.6.2.2 </w:t>
            </w:r>
          </w:p>
        </w:tc>
        <w:tc>
          <w:tcPr>
            <w:tcW w:w="4477" w:type="dxa"/>
            <w:vAlign w:val="center"/>
          </w:tcPr>
          <w:p>
            <w:pPr>
              <w:pStyle w:val="21"/>
              <w:widowControl w:val="0"/>
              <w:numPr>
                <w:ilvl w:val="0"/>
                <w:numId w:val="0"/>
              </w:numPr>
              <w:snapToGrid w:val="0"/>
              <w:rPr>
                <w:rFonts w:ascii="Times New Roman" w:eastAsiaTheme="minorEastAsia"/>
                <w:color w:val="000000"/>
                <w:kern w:val="2"/>
                <w:sz w:val="20"/>
                <w:szCs w:val="21"/>
              </w:rPr>
            </w:pPr>
            <w:r>
              <w:rPr>
                <w:rFonts w:ascii="Times New Roman"/>
                <w:sz w:val="20"/>
                <w:szCs w:val="21"/>
              </w:rPr>
              <w:t>应有规范的讲解词，讲解内容科学、准确、生动，能准确说明本工业旅游点（区）的特色，无庸俗、低俗、媚俗内容，无胁迫游客和故意诱导消费行为，能够满足不同层次游客的需求。</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1.6.2.3 </w:t>
            </w:r>
          </w:p>
        </w:tc>
        <w:tc>
          <w:tcPr>
            <w:tcW w:w="4477" w:type="dxa"/>
          </w:tcPr>
          <w:p>
            <w:pPr>
              <w:pStyle w:val="21"/>
              <w:widowControl w:val="0"/>
              <w:ind w:left="0"/>
              <w:rPr>
                <w:rFonts w:ascii="Times New Roman" w:eastAsiaTheme="minorEastAsia"/>
                <w:color w:val="000000"/>
                <w:kern w:val="2"/>
                <w:sz w:val="20"/>
                <w:szCs w:val="21"/>
              </w:rPr>
            </w:pPr>
            <w:r>
              <w:rPr>
                <w:rFonts w:ascii="Times New Roman"/>
                <w:sz w:val="20"/>
                <w:szCs w:val="21"/>
              </w:rPr>
              <w:t>采用标牌解说、印刷品解说、导游解说、语音智能化讲解等多种解说方式；解说语言宜有中外文对照；解说服务和宣传教育功能完善，解说效果良好。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1.7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旅游安全 </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b/>
                <w:bCs/>
                <w:color w:val="000000"/>
                <w:kern w:val="0"/>
                <w:sz w:val="20"/>
                <w:szCs w:val="21"/>
              </w:rPr>
              <w:t>100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b/>
                <w:bCs/>
                <w:kern w:val="0"/>
                <w:sz w:val="20"/>
                <w:szCs w:val="21"/>
              </w:rPr>
              <w:t xml:space="preserve">1.7.1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安全设施及管理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50</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rPr>
                <w:color w:val="000000"/>
                <w:kern w:val="0"/>
                <w:sz w:val="20"/>
                <w:szCs w:val="21"/>
              </w:rPr>
            </w:pPr>
            <w:r>
              <w:rPr>
                <w:kern w:val="0"/>
                <w:sz w:val="20"/>
                <w:szCs w:val="21"/>
              </w:rPr>
              <w:t xml:space="preserve">1.7.1.1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应有健全的安全管理制度和操作规程。应有专门的管理机构和职责明确的专职人员、安全责任人。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1.7.1.2 </w:t>
            </w:r>
          </w:p>
        </w:tc>
        <w:tc>
          <w:tcPr>
            <w:tcW w:w="4477" w:type="dxa"/>
            <w:vAlign w:val="center"/>
          </w:tcPr>
          <w:p>
            <w:pPr>
              <w:pStyle w:val="19"/>
              <w:tabs>
                <w:tab w:val="center" w:pos="4153"/>
                <w:tab w:val="right" w:pos="8306"/>
              </w:tabs>
              <w:snapToGrid w:val="0"/>
              <w:spacing w:beforeLines="0" w:afterLines="0"/>
              <w:rPr>
                <w:rFonts w:ascii="Times New Roman" w:eastAsia="宋体"/>
                <w:color w:val="000000"/>
                <w:sz w:val="20"/>
              </w:rPr>
            </w:pPr>
            <w:r>
              <w:rPr>
                <w:rFonts w:ascii="Times New Roman" w:eastAsia="宋体"/>
                <w:sz w:val="20"/>
              </w:rPr>
              <w:t>应有数量足够的消防、防盗、救护、安全监测等设施设备，确保完好、有效；</w:t>
            </w:r>
            <w:r>
              <w:rPr>
                <w:rFonts w:hint="eastAsia" w:ascii="Times New Roman" w:eastAsia="宋体"/>
                <w:sz w:val="20"/>
              </w:rPr>
              <w:t>特种设备应办理使用登记，在检验合格有效期之内，建立健全各项安全管理制度，依法开展日常安全检查和维护保养，作业人员持证上岗。</w:t>
            </w:r>
            <w:r>
              <w:rPr>
                <w:rFonts w:ascii="Times New Roman" w:eastAsia="宋体"/>
                <w:sz w:val="20"/>
              </w:rPr>
              <w:t xml:space="preserve">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1.7.1.3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应急缓冲区和疏散区应设置合理，方便游客疏散。紧急出口应标志明显、畅通无阻。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1.7.1.4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安全标识设置应清晰、醒目，数量充足。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rPr>
                <w:color w:val="000000"/>
                <w:kern w:val="0"/>
                <w:sz w:val="20"/>
                <w:szCs w:val="21"/>
              </w:rPr>
            </w:pPr>
            <w:r>
              <w:rPr>
                <w:kern w:val="0"/>
                <w:sz w:val="20"/>
                <w:szCs w:val="21"/>
              </w:rPr>
              <w:t xml:space="preserve">1.7.1.5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 xml:space="preserve">宜配置医疗救护点，并配备常用药品。应根据游览环境状况为游客提供必备的防撞、防滑、防绊、防坠落、防炫目、防噪音等防护装备和器具。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1.7.2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游览区安全管理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color w:val="000000"/>
                <w:kern w:val="0"/>
                <w:sz w:val="20"/>
                <w:szCs w:val="21"/>
              </w:rPr>
              <w:t>30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kern w:val="0"/>
                <w:sz w:val="20"/>
                <w:szCs w:val="21"/>
              </w:rPr>
              <w:t xml:space="preserve">1.7.2.1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参观游览前应对游客进行安全教育，为游客配备相应的安全设备及防护设施，生产区域内的游览应有专人引领和指导。 </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kern w:val="0"/>
                <w:sz w:val="20"/>
                <w:szCs w:val="21"/>
              </w:rPr>
              <w:t xml:space="preserve">1.7.2.2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参观游览活动不应涉及危险区域，危险或禁入区域应设立明显的警示标志，有物理隔离措施。 </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tcPr>
          <w:p>
            <w:pPr>
              <w:widowControl/>
              <w:spacing w:line="360" w:lineRule="auto"/>
              <w:jc w:val="left"/>
              <w:rPr>
                <w:color w:val="000000"/>
                <w:kern w:val="0"/>
                <w:sz w:val="24"/>
              </w:rPr>
            </w:pPr>
            <w:r>
              <w:rPr>
                <w:kern w:val="0"/>
                <w:sz w:val="20"/>
                <w:szCs w:val="21"/>
              </w:rPr>
              <w:t xml:space="preserve">1.7.2.3 </w:t>
            </w:r>
          </w:p>
        </w:tc>
        <w:tc>
          <w:tcPr>
            <w:tcW w:w="4477" w:type="dxa"/>
            <w:vAlign w:val="center"/>
          </w:tcPr>
          <w:p>
            <w:pPr>
              <w:widowControl/>
              <w:snapToGrid w:val="0"/>
              <w:rPr>
                <w:color w:val="000000"/>
                <w:kern w:val="0"/>
                <w:sz w:val="20"/>
                <w:szCs w:val="21"/>
              </w:rPr>
            </w:pPr>
            <w:r>
              <w:rPr>
                <w:kern w:val="0"/>
                <w:sz w:val="20"/>
                <w:szCs w:val="21"/>
              </w:rPr>
              <w:t>具有潜在危险性的活动项目应有切实有效的防范及安全措施，应配有专职安全员。</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1.7.3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应急救援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color w:val="000000"/>
                <w:kern w:val="0"/>
                <w:sz w:val="20"/>
                <w:szCs w:val="21"/>
              </w:rPr>
              <w:t>20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1.7.3.1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应有切实可行的旅游安全应急预案，应急处理能力强，事故处理及时、档案记录准确；应有经过专业培训的急救人员。</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1.7.3.2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应有应急救援机制，应向游客公布应急救援电话且保证畅通有效。宜与相关单位达成游客伤员运送协议。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1.7.3.3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管理人员应配备应急通讯设备，并保持通讯畅通。发现异常情况或突发事件时，应通过电子显示屏、短信、广播等途径，使用中外文及时向游客发布提示和引导信息。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1.7.3.4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应在游览区内重要部位进行电子监控和录像，录像资料应保存一个月以上。</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1.8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旅游智慧化 </w:t>
            </w:r>
          </w:p>
        </w:tc>
        <w:tc>
          <w:tcPr>
            <w:tcW w:w="700" w:type="dxa"/>
            <w:vAlign w:val="center"/>
          </w:tcPr>
          <w:p>
            <w:pPr>
              <w:widowControl/>
              <w:rPr>
                <w:b/>
                <w:bCs/>
                <w:color w:val="000000"/>
                <w:kern w:val="0"/>
                <w:sz w:val="20"/>
                <w:szCs w:val="21"/>
              </w:rPr>
            </w:pPr>
          </w:p>
        </w:tc>
        <w:tc>
          <w:tcPr>
            <w:tcW w:w="611" w:type="dxa"/>
            <w:vAlign w:val="center"/>
          </w:tcPr>
          <w:p>
            <w:pPr>
              <w:widowControl/>
              <w:rPr>
                <w:b/>
                <w:bCs/>
                <w:color w:val="000000"/>
                <w:kern w:val="0"/>
                <w:sz w:val="20"/>
                <w:szCs w:val="21"/>
              </w:rPr>
            </w:pPr>
            <w:r>
              <w:rPr>
                <w:rFonts w:hint="eastAsia"/>
                <w:b/>
                <w:bCs/>
                <w:color w:val="000000"/>
                <w:kern w:val="0"/>
                <w:sz w:val="20"/>
                <w:szCs w:val="21"/>
              </w:rPr>
              <w:t>5</w:t>
            </w:r>
            <w:r>
              <w:rPr>
                <w:b/>
                <w:bCs/>
                <w:color w:val="000000"/>
                <w:kern w:val="0"/>
                <w:sz w:val="20"/>
                <w:szCs w:val="21"/>
              </w:rPr>
              <w:t>0</w:t>
            </w:r>
          </w:p>
        </w:tc>
        <w:tc>
          <w:tcPr>
            <w:tcW w:w="598" w:type="dxa"/>
            <w:vAlign w:val="center"/>
          </w:tcPr>
          <w:p>
            <w:pPr>
              <w:widowControl/>
              <w:rPr>
                <w:b/>
                <w:bCs/>
                <w:color w:val="000000"/>
                <w:kern w:val="0"/>
                <w:sz w:val="20"/>
                <w:szCs w:val="21"/>
              </w:rPr>
            </w:pPr>
          </w:p>
        </w:tc>
        <w:tc>
          <w:tcPr>
            <w:tcW w:w="595" w:type="dxa"/>
            <w:vAlign w:val="center"/>
          </w:tcPr>
          <w:p>
            <w:pPr>
              <w:widowControl/>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有独立网站或新媒体平台，能供游客及时查询旅游信息，能定期维护，及时更新内容。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手机信号应覆盖游客可游览区域，免费无线局域网覆盖游客中心及主要游客聚集区。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游客游览的主要区域和重要节点应安装视频监控设备，能有效支持客流数据采集和安全监测。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开展网络营销或自媒体营销，提供在线旅游预订、在线交易、网上支付及移动端支付服务。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.8.5 </w:t>
            </w:r>
          </w:p>
        </w:tc>
        <w:tc>
          <w:tcPr>
            <w:tcW w:w="4477" w:type="dxa"/>
            <w:vAlign w:val="center"/>
          </w:tcPr>
          <w:p>
            <w:pPr>
              <w:pStyle w:val="19"/>
              <w:spacing w:beforeLines="0" w:afterLines="0"/>
              <w:rPr>
                <w:rFonts w:ascii="Times New Roman" w:eastAsia="宋体"/>
                <w:color w:val="000000"/>
                <w:kern w:val="2"/>
                <w:sz w:val="20"/>
              </w:rPr>
            </w:pPr>
            <w:r>
              <w:rPr>
                <w:rFonts w:ascii="Times New Roman" w:eastAsia="宋体"/>
                <w:sz w:val="20"/>
              </w:rPr>
              <w:t xml:space="preserve">使用虚拟现实（VR）、增强现实（AR）等电子技术手段丰富游客体验。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rPr>
                <w:b/>
                <w:bCs/>
                <w:color w:val="000000"/>
                <w:kern w:val="0"/>
                <w:sz w:val="20"/>
                <w:szCs w:val="21"/>
              </w:rPr>
            </w:pPr>
            <w:r>
              <w:rPr>
                <w:b/>
                <w:bCs/>
                <w:kern w:val="0"/>
                <w:sz w:val="20"/>
                <w:szCs w:val="21"/>
              </w:rPr>
              <w:t xml:space="preserve">1.9 </w:t>
            </w:r>
          </w:p>
        </w:tc>
        <w:tc>
          <w:tcPr>
            <w:tcW w:w="4477" w:type="dxa"/>
            <w:vAlign w:val="center"/>
          </w:tcPr>
          <w:p>
            <w:pPr>
              <w:pStyle w:val="19"/>
              <w:spacing w:beforeLines="0" w:afterLines="0"/>
              <w:rPr>
                <w:rFonts w:ascii="Times New Roman" w:eastAsia="宋体"/>
                <w:b/>
                <w:bCs/>
                <w:color w:val="000000"/>
                <w:sz w:val="20"/>
              </w:rPr>
            </w:pPr>
            <w:r>
              <w:rPr>
                <w:rFonts w:ascii="Times New Roman" w:eastAsia="宋体"/>
                <w:b/>
                <w:bCs/>
                <w:sz w:val="20"/>
              </w:rPr>
              <w:t>文化特色</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b/>
                <w:bCs/>
                <w:color w:val="000000"/>
                <w:kern w:val="0"/>
                <w:sz w:val="20"/>
                <w:szCs w:val="21"/>
              </w:rPr>
              <w:t>1</w:t>
            </w:r>
            <w:r>
              <w:rPr>
                <w:rFonts w:hint="eastAsia"/>
                <w:b/>
                <w:bCs/>
                <w:color w:val="000000"/>
                <w:kern w:val="0"/>
                <w:sz w:val="20"/>
                <w:szCs w:val="21"/>
              </w:rPr>
              <w:t>0</w:t>
            </w:r>
            <w:r>
              <w:rPr>
                <w:b/>
                <w:bCs/>
                <w:color w:val="000000"/>
                <w:kern w:val="0"/>
                <w:sz w:val="20"/>
                <w:szCs w:val="21"/>
              </w:rPr>
              <w:t>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1.9.1</w:t>
            </w:r>
          </w:p>
        </w:tc>
        <w:tc>
          <w:tcPr>
            <w:tcW w:w="4477" w:type="dxa"/>
            <w:vAlign w:val="center"/>
          </w:tcPr>
          <w:p>
            <w:pPr>
              <w:pStyle w:val="21"/>
              <w:widowControl w:val="0"/>
              <w:numPr>
                <w:ilvl w:val="0"/>
                <w:numId w:val="0"/>
              </w:numPr>
              <w:rPr>
                <w:rFonts w:ascii="Times New Roman" w:eastAsiaTheme="minorEastAsia"/>
                <w:color w:val="000000"/>
                <w:kern w:val="2"/>
                <w:sz w:val="20"/>
                <w:szCs w:val="21"/>
              </w:rPr>
            </w:pPr>
            <w:r>
              <w:rPr>
                <w:rFonts w:ascii="Times New Roman"/>
                <w:sz w:val="20"/>
                <w:szCs w:val="21"/>
              </w:rPr>
              <w:t>有一定的工业文化内涵和文化主题，并体现在游览项目和游览活动过程中。</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3</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1.9.2 </w:t>
            </w:r>
          </w:p>
        </w:tc>
        <w:tc>
          <w:tcPr>
            <w:tcW w:w="4477" w:type="dxa"/>
            <w:vAlign w:val="center"/>
          </w:tcPr>
          <w:p>
            <w:pPr>
              <w:pStyle w:val="21"/>
              <w:widowControl w:val="0"/>
              <w:numPr>
                <w:ilvl w:val="0"/>
                <w:numId w:val="0"/>
              </w:numPr>
              <w:rPr>
                <w:rFonts w:ascii="Times New Roman"/>
                <w:color w:val="000000"/>
                <w:sz w:val="20"/>
                <w:szCs w:val="21"/>
              </w:rPr>
            </w:pPr>
            <w:r>
              <w:rPr>
                <w:rFonts w:ascii="Times New Roman"/>
                <w:sz w:val="20"/>
                <w:szCs w:val="21"/>
              </w:rPr>
              <w:t>工业文化在本市有一定特色，或具有一定的文化创意水准。</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2</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1.9.3 </w:t>
            </w:r>
          </w:p>
        </w:tc>
        <w:tc>
          <w:tcPr>
            <w:tcW w:w="4477" w:type="dxa"/>
            <w:vAlign w:val="center"/>
          </w:tcPr>
          <w:p>
            <w:pPr>
              <w:pStyle w:val="21"/>
              <w:widowControl w:val="0"/>
              <w:numPr>
                <w:ilvl w:val="0"/>
                <w:numId w:val="0"/>
              </w:numPr>
              <w:rPr>
                <w:rFonts w:ascii="Times New Roman"/>
                <w:color w:val="000000"/>
                <w:sz w:val="20"/>
                <w:szCs w:val="21"/>
              </w:rPr>
            </w:pPr>
            <w:r>
              <w:rPr>
                <w:rFonts w:ascii="Times New Roman"/>
                <w:sz w:val="20"/>
                <w:szCs w:val="21"/>
              </w:rPr>
              <w:t>工业文化内涵得到初步挖掘和展示，能通过景观、实物、图片、活动等多种方式展示文化，主要建筑和游览设施有一定的文化个性。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2</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1.9.4 </w:t>
            </w:r>
          </w:p>
        </w:tc>
        <w:tc>
          <w:tcPr>
            <w:tcW w:w="4477" w:type="dxa"/>
            <w:vAlign w:val="center"/>
          </w:tcPr>
          <w:p>
            <w:pPr>
              <w:pStyle w:val="21"/>
              <w:widowControl w:val="0"/>
              <w:numPr>
                <w:ilvl w:val="0"/>
                <w:numId w:val="0"/>
              </w:numPr>
              <w:rPr>
                <w:rFonts w:ascii="Times New Roman"/>
                <w:color w:val="000000"/>
                <w:sz w:val="20"/>
                <w:szCs w:val="21"/>
              </w:rPr>
            </w:pPr>
            <w:r>
              <w:rPr>
                <w:rFonts w:ascii="Times New Roman"/>
                <w:sz w:val="20"/>
                <w:szCs w:val="21"/>
              </w:rPr>
              <w:t>工业旅游产品或工业文化旅游活动能基本满足游客需要，体验效果良好。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1.9.5 </w:t>
            </w:r>
          </w:p>
        </w:tc>
        <w:tc>
          <w:tcPr>
            <w:tcW w:w="4477" w:type="dxa"/>
            <w:vAlign w:val="center"/>
          </w:tcPr>
          <w:p>
            <w:pPr>
              <w:pStyle w:val="21"/>
              <w:widowControl w:val="0"/>
              <w:numPr>
                <w:ilvl w:val="0"/>
                <w:numId w:val="0"/>
              </w:numPr>
              <w:rPr>
                <w:rFonts w:ascii="Times New Roman" w:eastAsiaTheme="minorEastAsia"/>
                <w:color w:val="000000"/>
                <w:kern w:val="2"/>
                <w:sz w:val="20"/>
                <w:szCs w:val="21"/>
              </w:rPr>
            </w:pPr>
            <w:r>
              <w:rPr>
                <w:rFonts w:ascii="Times New Roman"/>
                <w:sz w:val="20"/>
                <w:szCs w:val="21"/>
              </w:rPr>
              <w:t>在弘扬中华优秀工业文化，开展爱国主义教育和践行社会主义核心价值观方面，或在履行社会责任，组织或参加公益性活动等方面发挥一定的作用。</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1.10 </w:t>
            </w:r>
          </w:p>
        </w:tc>
        <w:tc>
          <w:tcPr>
            <w:tcW w:w="4477" w:type="dxa"/>
            <w:vAlign w:val="center"/>
          </w:tcPr>
          <w:p>
            <w:pPr>
              <w:pStyle w:val="19"/>
              <w:spacing w:beforeLines="0" w:afterLines="0"/>
              <w:rPr>
                <w:rFonts w:ascii="Times New Roman" w:eastAsia="宋体"/>
                <w:b/>
                <w:bCs/>
                <w:color w:val="000000"/>
                <w:sz w:val="20"/>
              </w:rPr>
            </w:pPr>
            <w:r>
              <w:rPr>
                <w:rFonts w:ascii="Times New Roman" w:eastAsia="宋体"/>
                <w:b/>
                <w:bCs/>
                <w:sz w:val="20"/>
              </w:rPr>
              <w:t>综合管理</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rFonts w:hint="eastAsia"/>
                <w:b/>
                <w:bCs/>
                <w:color w:val="000000"/>
                <w:kern w:val="0"/>
                <w:sz w:val="20"/>
                <w:szCs w:val="21"/>
              </w:rPr>
              <w:t>7</w:t>
            </w:r>
            <w:r>
              <w:rPr>
                <w:b/>
                <w:bCs/>
                <w:color w:val="000000"/>
                <w:kern w:val="0"/>
                <w:sz w:val="20"/>
                <w:szCs w:val="21"/>
              </w:rPr>
              <w:t>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1.10.1 </w:t>
            </w:r>
          </w:p>
        </w:tc>
        <w:tc>
          <w:tcPr>
            <w:tcW w:w="4477" w:type="dxa"/>
            <w:vAlign w:val="center"/>
          </w:tcPr>
          <w:p>
            <w:pPr>
              <w:pStyle w:val="18"/>
              <w:rPr>
                <w:rFonts w:ascii="Times New Roman"/>
                <w:color w:val="000000"/>
                <w:kern w:val="2"/>
                <w:sz w:val="20"/>
              </w:rPr>
            </w:pPr>
            <w:r>
              <w:rPr>
                <w:rFonts w:ascii="Times New Roman"/>
                <w:sz w:val="20"/>
              </w:rPr>
              <w:t>工业旅游点（区）内项目开发建设项目应符合相关规划要求。</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1.10.2</w:t>
            </w:r>
          </w:p>
        </w:tc>
        <w:tc>
          <w:tcPr>
            <w:tcW w:w="4477" w:type="dxa"/>
            <w:vAlign w:val="center"/>
          </w:tcPr>
          <w:p>
            <w:pPr>
              <w:pStyle w:val="18"/>
              <w:rPr>
                <w:rFonts w:ascii="Times New Roman"/>
                <w:color w:val="000000"/>
                <w:sz w:val="20"/>
              </w:rPr>
            </w:pPr>
            <w:r>
              <w:rPr>
                <w:rFonts w:ascii="Times New Roman"/>
                <w:sz w:val="20"/>
              </w:rPr>
              <w:t>管理体制健全，管理人员配备合理，70%以上中高级以上管理人员均具备大学以上文化程度，经营机制有效。培训制度明确，业务培训较全面，效果良好，上岗人员培训合格率达100%。</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1.10.3 </w:t>
            </w:r>
          </w:p>
        </w:tc>
        <w:tc>
          <w:tcPr>
            <w:tcW w:w="4477" w:type="dxa"/>
            <w:vAlign w:val="center"/>
          </w:tcPr>
          <w:p>
            <w:pPr>
              <w:pStyle w:val="18"/>
              <w:rPr>
                <w:rFonts w:ascii="Times New Roman"/>
                <w:color w:val="000000"/>
                <w:sz w:val="20"/>
              </w:rPr>
            </w:pPr>
            <w:r>
              <w:rPr>
                <w:rFonts w:ascii="Times New Roman"/>
                <w:sz w:val="20"/>
              </w:rPr>
              <w:t>旅游质量、旅游安全、资源与环境保护、旅游统计等各项经营管理制度健全有效，贯彻措施得力，定期监督检查，有完整的书面记录和总结。</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1.10.4 </w:t>
            </w:r>
          </w:p>
        </w:tc>
        <w:tc>
          <w:tcPr>
            <w:tcW w:w="4477" w:type="dxa"/>
            <w:vAlign w:val="center"/>
          </w:tcPr>
          <w:p>
            <w:pPr>
              <w:pStyle w:val="18"/>
              <w:rPr>
                <w:rFonts w:ascii="Times New Roman"/>
                <w:color w:val="000000"/>
                <w:kern w:val="2"/>
                <w:sz w:val="20"/>
              </w:rPr>
            </w:pPr>
            <w:r>
              <w:rPr>
                <w:rFonts w:ascii="Times New Roman"/>
                <w:sz w:val="20"/>
              </w:rPr>
              <w:t>应履行旅游统计调查制度，按要求报送各项相关统计数据和信息，确保数据的真实性和准确性。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1.10.5 </w:t>
            </w:r>
          </w:p>
        </w:tc>
        <w:tc>
          <w:tcPr>
            <w:tcW w:w="4477" w:type="dxa"/>
            <w:vAlign w:val="center"/>
          </w:tcPr>
          <w:p>
            <w:pPr>
              <w:pStyle w:val="21"/>
              <w:widowControl w:val="0"/>
              <w:numPr>
                <w:ilvl w:val="0"/>
                <w:numId w:val="0"/>
              </w:numPr>
              <w:rPr>
                <w:rFonts w:ascii="Times New Roman"/>
                <w:color w:val="000000"/>
                <w:sz w:val="20"/>
                <w:szCs w:val="21"/>
              </w:rPr>
            </w:pPr>
            <w:r>
              <w:rPr>
                <w:rFonts w:ascii="Times New Roman"/>
                <w:sz w:val="20"/>
                <w:szCs w:val="21"/>
              </w:rPr>
              <w:t>有旅游质量监管制度和措施，投诉制度健全，人员与设备落实，投诉受理及时，处理较为妥善，档案记录完整。</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spacing w:line="360" w:lineRule="auto"/>
              <w:rPr>
                <w:color w:val="000000"/>
                <w:kern w:val="0"/>
                <w:sz w:val="24"/>
              </w:rPr>
            </w:pPr>
            <w:r>
              <w:rPr>
                <w:kern w:val="0"/>
                <w:sz w:val="20"/>
                <w:szCs w:val="21"/>
              </w:rPr>
              <w:t xml:space="preserve">1.10.6 </w:t>
            </w:r>
          </w:p>
        </w:tc>
        <w:tc>
          <w:tcPr>
            <w:tcW w:w="4477" w:type="dxa"/>
            <w:vAlign w:val="center"/>
          </w:tcPr>
          <w:p>
            <w:pPr>
              <w:pStyle w:val="21"/>
              <w:widowControl w:val="0"/>
              <w:numPr>
                <w:ilvl w:val="0"/>
                <w:numId w:val="0"/>
              </w:numPr>
              <w:rPr>
                <w:rFonts w:ascii="Times New Roman" w:eastAsiaTheme="minorEastAsia"/>
                <w:color w:val="000000"/>
                <w:kern w:val="2"/>
                <w:sz w:val="20"/>
                <w:szCs w:val="21"/>
              </w:rPr>
            </w:pPr>
            <w:r>
              <w:rPr>
                <w:rFonts w:ascii="Times New Roman"/>
                <w:sz w:val="20"/>
                <w:szCs w:val="21"/>
              </w:rPr>
              <w:t>具有明确的价值观念和经营方针，产品形象、质量形象、视觉形象和员工形象良好。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rFonts w:eastAsia="黑体"/>
                <w:b/>
                <w:color w:val="000000"/>
                <w:kern w:val="0"/>
                <w:sz w:val="24"/>
              </w:rPr>
            </w:pPr>
            <w:r>
              <w:rPr>
                <w:rFonts w:eastAsia="黑体"/>
                <w:b/>
                <w:color w:val="000000"/>
                <w:kern w:val="0"/>
                <w:sz w:val="24"/>
              </w:rPr>
              <w:t>2</w:t>
            </w:r>
          </w:p>
        </w:tc>
        <w:tc>
          <w:tcPr>
            <w:tcW w:w="4477" w:type="dxa"/>
            <w:vAlign w:val="center"/>
          </w:tcPr>
          <w:p>
            <w:pPr>
              <w:pStyle w:val="19"/>
              <w:snapToGrid w:val="0"/>
              <w:spacing w:beforeLines="0" w:afterLines="0"/>
              <w:rPr>
                <w:rFonts w:ascii="Times New Roman"/>
                <w:b/>
                <w:color w:val="000000"/>
                <w:sz w:val="24"/>
                <w:szCs w:val="24"/>
              </w:rPr>
            </w:pPr>
            <w:r>
              <w:rPr>
                <w:rFonts w:ascii="Times New Roman"/>
                <w:b/>
                <w:color w:val="000000"/>
                <w:sz w:val="24"/>
                <w:szCs w:val="24"/>
              </w:rPr>
              <w:t>附加项目</w:t>
            </w:r>
          </w:p>
        </w:tc>
        <w:tc>
          <w:tcPr>
            <w:tcW w:w="700" w:type="dxa"/>
            <w:vAlign w:val="center"/>
          </w:tcPr>
          <w:p>
            <w:pPr>
              <w:widowControl/>
              <w:spacing w:line="360" w:lineRule="auto"/>
              <w:rPr>
                <w:rFonts w:eastAsia="黑体"/>
                <w:b/>
                <w:color w:val="000000"/>
                <w:kern w:val="0"/>
                <w:sz w:val="24"/>
              </w:rPr>
            </w:pPr>
            <w:r>
              <w:rPr>
                <w:rFonts w:eastAsia="黑体"/>
                <w:b/>
                <w:color w:val="000000"/>
                <w:kern w:val="0"/>
                <w:sz w:val="24"/>
              </w:rPr>
              <w:t>200</w:t>
            </w:r>
          </w:p>
        </w:tc>
        <w:tc>
          <w:tcPr>
            <w:tcW w:w="611" w:type="dxa"/>
            <w:vAlign w:val="center"/>
          </w:tcPr>
          <w:p>
            <w:pPr>
              <w:widowControl/>
              <w:spacing w:line="360" w:lineRule="auto"/>
              <w:jc w:val="center"/>
              <w:rPr>
                <w:rFonts w:eastAsia="黑体"/>
                <w:b/>
                <w:color w:val="000000"/>
                <w:kern w:val="0"/>
                <w:sz w:val="24"/>
              </w:rPr>
            </w:pPr>
          </w:p>
        </w:tc>
        <w:tc>
          <w:tcPr>
            <w:tcW w:w="598" w:type="dxa"/>
            <w:vAlign w:val="center"/>
          </w:tcPr>
          <w:p>
            <w:pPr>
              <w:widowControl/>
              <w:spacing w:line="360" w:lineRule="auto"/>
              <w:jc w:val="center"/>
              <w:rPr>
                <w:rFonts w:eastAsia="黑体"/>
                <w:b/>
                <w:color w:val="000000"/>
                <w:kern w:val="0"/>
                <w:sz w:val="24"/>
              </w:rPr>
            </w:pPr>
          </w:p>
        </w:tc>
        <w:tc>
          <w:tcPr>
            <w:tcW w:w="595" w:type="dxa"/>
            <w:vAlign w:val="center"/>
          </w:tcPr>
          <w:p>
            <w:pPr>
              <w:widowControl/>
              <w:spacing w:line="360" w:lineRule="auto"/>
              <w:jc w:val="center"/>
              <w:rPr>
                <w:rFonts w:eastAsia="黑体"/>
                <w:b/>
                <w:color w:val="000000"/>
                <w:kern w:val="0"/>
                <w:sz w:val="24"/>
              </w:rPr>
            </w:pPr>
          </w:p>
        </w:tc>
        <w:tc>
          <w:tcPr>
            <w:tcW w:w="520" w:type="dxa"/>
            <w:vAlign w:val="center"/>
          </w:tcPr>
          <w:p>
            <w:pPr>
              <w:widowControl/>
              <w:spacing w:line="360" w:lineRule="auto"/>
              <w:rPr>
                <w:rFonts w:eastAsia="黑体"/>
                <w:b/>
                <w:color w:val="000000"/>
                <w:kern w:val="0"/>
                <w:sz w:val="24"/>
              </w:rPr>
            </w:pPr>
          </w:p>
        </w:tc>
        <w:tc>
          <w:tcPr>
            <w:tcW w:w="520" w:type="dxa"/>
          </w:tcPr>
          <w:p>
            <w:pPr>
              <w:widowControl/>
              <w:spacing w:line="360" w:lineRule="auto"/>
              <w:rPr>
                <w:rFonts w:eastAsia="黑体"/>
                <w:b/>
                <w:color w:val="000000"/>
                <w:kern w:val="0"/>
                <w:sz w:val="24"/>
              </w:rPr>
            </w:pPr>
          </w:p>
        </w:tc>
        <w:tc>
          <w:tcPr>
            <w:tcW w:w="520" w:type="dxa"/>
          </w:tcPr>
          <w:p>
            <w:pPr>
              <w:widowControl/>
              <w:spacing w:line="360" w:lineRule="auto"/>
              <w:rPr>
                <w:rFonts w:eastAsia="黑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2.1 </w:t>
            </w:r>
          </w:p>
        </w:tc>
        <w:tc>
          <w:tcPr>
            <w:tcW w:w="4477" w:type="dxa"/>
            <w:vAlign w:val="center"/>
          </w:tcPr>
          <w:p>
            <w:pPr>
              <w:widowControl/>
              <w:rPr>
                <w:color w:val="000000"/>
                <w:kern w:val="0"/>
                <w:sz w:val="20"/>
                <w:szCs w:val="21"/>
              </w:rPr>
            </w:pPr>
            <w:r>
              <w:rPr>
                <w:color w:val="000000"/>
                <w:kern w:val="0"/>
                <w:sz w:val="20"/>
                <w:szCs w:val="21"/>
              </w:rPr>
              <w:t xml:space="preserve">申报主体或集聚区获得国家级荣誉称号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2.2 </w:t>
            </w:r>
          </w:p>
        </w:tc>
        <w:tc>
          <w:tcPr>
            <w:tcW w:w="4477" w:type="dxa"/>
            <w:vAlign w:val="center"/>
          </w:tcPr>
          <w:p>
            <w:pPr>
              <w:rPr>
                <w:color w:val="000000"/>
                <w:kern w:val="0"/>
                <w:sz w:val="20"/>
                <w:szCs w:val="21"/>
              </w:rPr>
            </w:pPr>
            <w:r>
              <w:rPr>
                <w:color w:val="000000"/>
                <w:kern w:val="0"/>
                <w:sz w:val="20"/>
                <w:szCs w:val="21"/>
              </w:rPr>
              <w:t xml:space="preserve">申报主体或集聚区获得省级荣誉称号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15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rPr>
                <w:color w:val="000000"/>
                <w:kern w:val="0"/>
                <w:sz w:val="20"/>
                <w:szCs w:val="21"/>
              </w:rPr>
            </w:pPr>
            <w:r>
              <w:rPr>
                <w:color w:val="000000"/>
                <w:kern w:val="0"/>
                <w:sz w:val="20"/>
                <w:szCs w:val="21"/>
              </w:rPr>
              <w:t xml:space="preserve">2.3 </w:t>
            </w:r>
          </w:p>
        </w:tc>
        <w:tc>
          <w:tcPr>
            <w:tcW w:w="4477" w:type="dxa"/>
            <w:vAlign w:val="center"/>
          </w:tcPr>
          <w:p>
            <w:pPr>
              <w:rPr>
                <w:color w:val="000000"/>
                <w:kern w:val="0"/>
                <w:sz w:val="20"/>
                <w:szCs w:val="21"/>
              </w:rPr>
            </w:pPr>
            <w:r>
              <w:rPr>
                <w:color w:val="000000"/>
                <w:kern w:val="0"/>
                <w:sz w:val="20"/>
                <w:szCs w:val="21"/>
              </w:rPr>
              <w:t>申报主体或集聚区员工获得国家级个人荣誉称号</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2.4 </w:t>
            </w:r>
          </w:p>
        </w:tc>
        <w:tc>
          <w:tcPr>
            <w:tcW w:w="4477" w:type="dxa"/>
            <w:vAlign w:val="center"/>
          </w:tcPr>
          <w:p>
            <w:pPr>
              <w:rPr>
                <w:color w:val="000000"/>
                <w:kern w:val="0"/>
                <w:sz w:val="20"/>
                <w:szCs w:val="21"/>
              </w:rPr>
            </w:pPr>
            <w:r>
              <w:rPr>
                <w:color w:val="000000"/>
                <w:kern w:val="0"/>
                <w:sz w:val="20"/>
                <w:szCs w:val="21"/>
              </w:rPr>
              <w:t>申报或集聚区员工获得省级个人荣誉称号</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15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2.5 </w:t>
            </w:r>
          </w:p>
        </w:tc>
        <w:tc>
          <w:tcPr>
            <w:tcW w:w="4477" w:type="dxa"/>
            <w:vAlign w:val="center"/>
          </w:tcPr>
          <w:p>
            <w:pPr>
              <w:rPr>
                <w:color w:val="000000"/>
                <w:kern w:val="0"/>
                <w:sz w:val="20"/>
                <w:szCs w:val="21"/>
              </w:rPr>
            </w:pPr>
            <w:r>
              <w:rPr>
                <w:color w:val="000000"/>
                <w:kern w:val="0"/>
                <w:sz w:val="20"/>
                <w:szCs w:val="21"/>
              </w:rPr>
              <w:t>申报主体或集聚区拥有国家技术发明奖</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2.6 </w:t>
            </w:r>
          </w:p>
        </w:tc>
        <w:tc>
          <w:tcPr>
            <w:tcW w:w="4477" w:type="dxa"/>
            <w:vAlign w:val="center"/>
          </w:tcPr>
          <w:p>
            <w:pPr>
              <w:rPr>
                <w:color w:val="000000"/>
                <w:kern w:val="0"/>
                <w:sz w:val="20"/>
                <w:szCs w:val="21"/>
              </w:rPr>
            </w:pPr>
            <w:r>
              <w:rPr>
                <w:color w:val="000000"/>
                <w:kern w:val="0"/>
                <w:sz w:val="20"/>
                <w:szCs w:val="21"/>
              </w:rPr>
              <w:t>申报主体或集聚区拥有国家级非物质文化遗产等独特资源</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Align w:val="center"/>
          </w:tcPr>
          <w:p>
            <w:pPr>
              <w:widowControl/>
              <w:rPr>
                <w:color w:val="000000"/>
                <w:kern w:val="0"/>
                <w:sz w:val="20"/>
                <w:szCs w:val="21"/>
              </w:rPr>
            </w:pPr>
            <w:r>
              <w:rPr>
                <w:color w:val="000000"/>
                <w:kern w:val="0"/>
                <w:sz w:val="20"/>
                <w:szCs w:val="21"/>
              </w:rPr>
              <w:t xml:space="preserve">2.7 </w:t>
            </w:r>
          </w:p>
        </w:tc>
        <w:tc>
          <w:tcPr>
            <w:tcW w:w="4477" w:type="dxa"/>
            <w:vAlign w:val="center"/>
          </w:tcPr>
          <w:p>
            <w:pPr>
              <w:rPr>
                <w:color w:val="000000"/>
                <w:kern w:val="0"/>
                <w:sz w:val="20"/>
                <w:szCs w:val="21"/>
              </w:rPr>
            </w:pPr>
            <w:r>
              <w:rPr>
                <w:color w:val="000000"/>
                <w:kern w:val="0"/>
                <w:sz w:val="20"/>
                <w:szCs w:val="21"/>
              </w:rPr>
              <w:t>申报主体或集聚区拥有省级非物质文化遗产等独特资源</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15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2.8 </w:t>
            </w:r>
          </w:p>
        </w:tc>
        <w:tc>
          <w:tcPr>
            <w:tcW w:w="4477" w:type="dxa"/>
            <w:vAlign w:val="center"/>
          </w:tcPr>
          <w:p>
            <w:pPr>
              <w:rPr>
                <w:color w:val="000000"/>
                <w:kern w:val="0"/>
                <w:sz w:val="20"/>
                <w:szCs w:val="21"/>
              </w:rPr>
            </w:pPr>
            <w:r>
              <w:rPr>
                <w:color w:val="000000"/>
                <w:kern w:val="0"/>
                <w:sz w:val="20"/>
                <w:szCs w:val="21"/>
              </w:rPr>
              <w:t>申报主体或集聚区获得国家或国际组织颁发的生态环境奖项或荣誉</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color w:val="000000"/>
                <w:kern w:val="0"/>
                <w:sz w:val="20"/>
                <w:szCs w:val="21"/>
              </w:rPr>
              <w:t xml:space="preserve">2.9 </w:t>
            </w:r>
          </w:p>
        </w:tc>
        <w:tc>
          <w:tcPr>
            <w:tcW w:w="4477" w:type="dxa"/>
          </w:tcPr>
          <w:p>
            <w:pPr>
              <w:widowControl/>
              <w:spacing w:line="360" w:lineRule="auto"/>
              <w:jc w:val="left"/>
              <w:rPr>
                <w:color w:val="000000"/>
                <w:kern w:val="0"/>
                <w:sz w:val="24"/>
              </w:rPr>
            </w:pPr>
            <w:r>
              <w:rPr>
                <w:color w:val="000000"/>
                <w:kern w:val="0"/>
                <w:sz w:val="20"/>
                <w:szCs w:val="21"/>
              </w:rPr>
              <w:t>申报主体或集聚区纳入市倍增计划</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color w:val="000000"/>
                <w:kern w:val="0"/>
                <w:sz w:val="20"/>
                <w:szCs w:val="21"/>
              </w:rPr>
              <w:t xml:space="preserve">2.10 </w:t>
            </w:r>
          </w:p>
        </w:tc>
        <w:tc>
          <w:tcPr>
            <w:tcW w:w="4477" w:type="dxa"/>
          </w:tcPr>
          <w:p>
            <w:pPr>
              <w:widowControl/>
              <w:spacing w:line="360" w:lineRule="auto"/>
              <w:jc w:val="left"/>
              <w:rPr>
                <w:color w:val="000000"/>
                <w:kern w:val="0"/>
                <w:sz w:val="20"/>
                <w:szCs w:val="21"/>
              </w:rPr>
            </w:pPr>
            <w:r>
              <w:rPr>
                <w:color w:val="000000"/>
                <w:kern w:val="0"/>
                <w:sz w:val="20"/>
                <w:szCs w:val="21"/>
              </w:rPr>
              <w:t>申报主体或集聚区获重合同守信用企业</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tcPr>
          <w:p>
            <w:pPr>
              <w:widowControl/>
              <w:spacing w:line="360" w:lineRule="auto"/>
              <w:jc w:val="left"/>
              <w:rPr>
                <w:color w:val="000000"/>
                <w:kern w:val="0"/>
                <w:sz w:val="24"/>
              </w:rPr>
            </w:pPr>
            <w:r>
              <w:rPr>
                <w:color w:val="000000"/>
                <w:kern w:val="0"/>
                <w:sz w:val="20"/>
                <w:szCs w:val="21"/>
              </w:rPr>
              <w:t>2.11</w:t>
            </w:r>
          </w:p>
        </w:tc>
        <w:tc>
          <w:tcPr>
            <w:tcW w:w="4477" w:type="dxa"/>
          </w:tcPr>
          <w:p>
            <w:pPr>
              <w:widowControl/>
              <w:spacing w:line="360" w:lineRule="auto"/>
              <w:jc w:val="left"/>
              <w:rPr>
                <w:color w:val="000000"/>
                <w:kern w:val="0"/>
                <w:sz w:val="20"/>
                <w:szCs w:val="21"/>
              </w:rPr>
            </w:pPr>
            <w:r>
              <w:rPr>
                <w:color w:val="000000"/>
                <w:kern w:val="0"/>
                <w:sz w:val="20"/>
                <w:szCs w:val="21"/>
              </w:rPr>
              <w:t>申报主体或集聚区获认定高新技术企业</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center"/>
              <w:rPr>
                <w:color w:val="000000"/>
                <w:kern w:val="0"/>
                <w:sz w:val="24"/>
              </w:rPr>
            </w:pPr>
            <w:r>
              <w:rPr>
                <w:rFonts w:hint="eastAsia"/>
                <w:color w:val="000000"/>
                <w:kern w:val="0"/>
                <w:sz w:val="24"/>
              </w:rPr>
              <w:t>合计</w:t>
            </w:r>
          </w:p>
        </w:tc>
        <w:tc>
          <w:tcPr>
            <w:tcW w:w="4477" w:type="dxa"/>
          </w:tcPr>
          <w:p>
            <w:pPr>
              <w:widowControl/>
              <w:spacing w:line="360" w:lineRule="auto"/>
              <w:jc w:val="left"/>
              <w:rPr>
                <w:color w:val="000000"/>
                <w:kern w:val="0"/>
                <w:sz w:val="24"/>
              </w:rPr>
            </w:pP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bl>
    <w:p>
      <w:pPr>
        <w:widowControl/>
        <w:spacing w:line="432" w:lineRule="auto"/>
        <w:rPr>
          <w:rFonts w:ascii="宋体" w:hAnsi="宋体" w:eastAsia="仿宋_GB2312" w:cs="宋体"/>
          <w:b/>
          <w:bCs/>
          <w:color w:val="000000"/>
          <w:kern w:val="0"/>
          <w:sz w:val="32"/>
          <w:szCs w:val="32"/>
        </w:rPr>
      </w:pPr>
    </w:p>
    <w:sectPr>
      <w:footerReference r:id="rId3" w:type="default"/>
      <w:footerReference r:id="rId4" w:type="even"/>
      <w:pgSz w:w="11906" w:h="16838"/>
      <w:pgMar w:top="1440" w:right="1797" w:bottom="1440" w:left="1797" w:header="851" w:footer="85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华康简仿宋">
    <w:panose1 w:val="02020409010101010101"/>
    <w:charset w:val="86"/>
    <w:family w:val="auto"/>
    <w:pitch w:val="default"/>
    <w:sig w:usb0="00000001" w:usb1="08010000" w:usb2="0000001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472"/>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473"/>
      <w:docPartObj>
        <w:docPartGallery w:val="autotext"/>
      </w:docPartObj>
    </w:sdtPr>
    <w:sdt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E78EA"/>
    <w:multiLevelType w:val="multilevel"/>
    <w:tmpl w:val="419E78EA"/>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438"/>
    <w:rsid w:val="00000303"/>
    <w:rsid w:val="00036E4C"/>
    <w:rsid w:val="00057A06"/>
    <w:rsid w:val="000769F6"/>
    <w:rsid w:val="0008087F"/>
    <w:rsid w:val="000809A2"/>
    <w:rsid w:val="000A3EA3"/>
    <w:rsid w:val="000B5CD9"/>
    <w:rsid w:val="00164E25"/>
    <w:rsid w:val="00173015"/>
    <w:rsid w:val="001744B8"/>
    <w:rsid w:val="001770B9"/>
    <w:rsid w:val="00181C4F"/>
    <w:rsid w:val="001C05B8"/>
    <w:rsid w:val="001D5CFE"/>
    <w:rsid w:val="001F5056"/>
    <w:rsid w:val="001F7A86"/>
    <w:rsid w:val="002038E5"/>
    <w:rsid w:val="002127FC"/>
    <w:rsid w:val="00224037"/>
    <w:rsid w:val="002A7743"/>
    <w:rsid w:val="002E7961"/>
    <w:rsid w:val="003020ED"/>
    <w:rsid w:val="00312156"/>
    <w:rsid w:val="0031449F"/>
    <w:rsid w:val="00317C86"/>
    <w:rsid w:val="0034389B"/>
    <w:rsid w:val="00344FDC"/>
    <w:rsid w:val="00381BAA"/>
    <w:rsid w:val="003B69BF"/>
    <w:rsid w:val="003C200F"/>
    <w:rsid w:val="003E2E12"/>
    <w:rsid w:val="003E36D2"/>
    <w:rsid w:val="003F1370"/>
    <w:rsid w:val="00432BF0"/>
    <w:rsid w:val="00443AB8"/>
    <w:rsid w:val="004448B0"/>
    <w:rsid w:val="00447231"/>
    <w:rsid w:val="00447B94"/>
    <w:rsid w:val="00470D52"/>
    <w:rsid w:val="004813EE"/>
    <w:rsid w:val="004851A6"/>
    <w:rsid w:val="004E18C3"/>
    <w:rsid w:val="005134D1"/>
    <w:rsid w:val="0052080D"/>
    <w:rsid w:val="00567438"/>
    <w:rsid w:val="005708C2"/>
    <w:rsid w:val="00594FC3"/>
    <w:rsid w:val="005D4FDB"/>
    <w:rsid w:val="005D6422"/>
    <w:rsid w:val="005E4883"/>
    <w:rsid w:val="00674C28"/>
    <w:rsid w:val="00680815"/>
    <w:rsid w:val="006A72F0"/>
    <w:rsid w:val="006C4F0B"/>
    <w:rsid w:val="006D1AC1"/>
    <w:rsid w:val="006D203C"/>
    <w:rsid w:val="006E6B14"/>
    <w:rsid w:val="00731211"/>
    <w:rsid w:val="00736AD8"/>
    <w:rsid w:val="00757A60"/>
    <w:rsid w:val="00760A7A"/>
    <w:rsid w:val="007718EB"/>
    <w:rsid w:val="007840B8"/>
    <w:rsid w:val="007C0AC7"/>
    <w:rsid w:val="007C487A"/>
    <w:rsid w:val="007E26EA"/>
    <w:rsid w:val="007E33BD"/>
    <w:rsid w:val="008119A2"/>
    <w:rsid w:val="008D745A"/>
    <w:rsid w:val="008F2C20"/>
    <w:rsid w:val="00902A1D"/>
    <w:rsid w:val="00906872"/>
    <w:rsid w:val="00937F40"/>
    <w:rsid w:val="009425A4"/>
    <w:rsid w:val="00971BA0"/>
    <w:rsid w:val="009851DA"/>
    <w:rsid w:val="00996BC0"/>
    <w:rsid w:val="009C6CA5"/>
    <w:rsid w:val="00A06357"/>
    <w:rsid w:val="00A601BA"/>
    <w:rsid w:val="00A976DE"/>
    <w:rsid w:val="00AA47F1"/>
    <w:rsid w:val="00AB5B50"/>
    <w:rsid w:val="00B03A76"/>
    <w:rsid w:val="00B20D66"/>
    <w:rsid w:val="00B55A71"/>
    <w:rsid w:val="00B920CB"/>
    <w:rsid w:val="00BA54B4"/>
    <w:rsid w:val="00BC0502"/>
    <w:rsid w:val="00BF1307"/>
    <w:rsid w:val="00BF7353"/>
    <w:rsid w:val="00C03809"/>
    <w:rsid w:val="00C108EC"/>
    <w:rsid w:val="00C11CF8"/>
    <w:rsid w:val="00C27F5C"/>
    <w:rsid w:val="00C306BB"/>
    <w:rsid w:val="00C46D13"/>
    <w:rsid w:val="00C50EAC"/>
    <w:rsid w:val="00C81D07"/>
    <w:rsid w:val="00C917A1"/>
    <w:rsid w:val="00C96658"/>
    <w:rsid w:val="00D10654"/>
    <w:rsid w:val="00D2244A"/>
    <w:rsid w:val="00D3124B"/>
    <w:rsid w:val="00D43376"/>
    <w:rsid w:val="00D54E01"/>
    <w:rsid w:val="00D8037C"/>
    <w:rsid w:val="00DD49CF"/>
    <w:rsid w:val="00DD6E1D"/>
    <w:rsid w:val="00E037FB"/>
    <w:rsid w:val="00E0465D"/>
    <w:rsid w:val="00E2375F"/>
    <w:rsid w:val="00E262F0"/>
    <w:rsid w:val="00E5465B"/>
    <w:rsid w:val="00EB508E"/>
    <w:rsid w:val="00EC2471"/>
    <w:rsid w:val="00ED4AA1"/>
    <w:rsid w:val="00F00673"/>
    <w:rsid w:val="00F24096"/>
    <w:rsid w:val="00F772BB"/>
    <w:rsid w:val="00F805CE"/>
    <w:rsid w:val="00FA179C"/>
    <w:rsid w:val="00FB290C"/>
    <w:rsid w:val="220D6EB9"/>
    <w:rsid w:val="2F750F46"/>
    <w:rsid w:val="397249F1"/>
    <w:rsid w:val="55FFF909"/>
    <w:rsid w:val="63022A35"/>
    <w:rsid w:val="68343CFB"/>
    <w:rsid w:val="69E7E6E0"/>
    <w:rsid w:val="6F5FBDD5"/>
    <w:rsid w:val="9BCA9DFD"/>
    <w:rsid w:val="FF7FB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ind w:right="-35" w:rightChars="-12"/>
    </w:pPr>
    <w:rPr>
      <w:rFonts w:eastAsia="仿宋_GB2312"/>
      <w:sz w:val="31"/>
    </w:rPr>
  </w:style>
  <w:style w:type="paragraph" w:styleId="3">
    <w:name w:val="Date"/>
    <w:basedOn w:val="1"/>
    <w:next w:val="1"/>
    <w:link w:val="15"/>
    <w:qFormat/>
    <w:uiPriority w:val="0"/>
    <w:pPr>
      <w:ind w:left="100" w:leftChars="2500"/>
    </w:pPr>
  </w:style>
  <w:style w:type="paragraph" w:styleId="4">
    <w:name w:val="Balloon Text"/>
    <w:basedOn w:val="1"/>
    <w:link w:val="22"/>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qFormat/>
    <w:uiPriority w:val="0"/>
    <w:rPr>
      <w:sz w:val="18"/>
      <w:szCs w:val="18"/>
    </w:rPr>
  </w:style>
  <w:style w:type="character" w:customStyle="1" w:styleId="13">
    <w:name w:val="页脚 Char"/>
    <w:basedOn w:val="9"/>
    <w:link w:val="5"/>
    <w:qFormat/>
    <w:uiPriority w:val="99"/>
    <w:rPr>
      <w:sz w:val="18"/>
      <w:szCs w:val="18"/>
    </w:rPr>
  </w:style>
  <w:style w:type="paragraph" w:customStyle="1" w:styleId="14">
    <w:name w:val="Char Char1"/>
    <w:basedOn w:val="1"/>
    <w:qFormat/>
    <w:uiPriority w:val="0"/>
    <w:rPr>
      <w:rFonts w:ascii="Tahoma" w:hAnsi="Tahoma"/>
      <w:sz w:val="24"/>
      <w:szCs w:val="20"/>
    </w:rPr>
  </w:style>
  <w:style w:type="character" w:customStyle="1" w:styleId="15">
    <w:name w:val="日期 Char"/>
    <w:basedOn w:val="9"/>
    <w:link w:val="3"/>
    <w:qFormat/>
    <w:uiPriority w:val="0"/>
    <w:rPr>
      <w:rFonts w:ascii="Times New Roman" w:hAnsi="Times New Roman" w:eastAsia="宋体" w:cs="Times New Roman"/>
      <w:szCs w:val="24"/>
    </w:rPr>
  </w:style>
  <w:style w:type="character" w:customStyle="1" w:styleId="16">
    <w:name w:val="正文文本 Char"/>
    <w:basedOn w:val="9"/>
    <w:link w:val="2"/>
    <w:qFormat/>
    <w:uiPriority w:val="0"/>
    <w:rPr>
      <w:rFonts w:ascii="Times New Roman" w:hAnsi="Times New Roman" w:eastAsia="仿宋_GB2312" w:cs="Times New Roman"/>
      <w:sz w:val="31"/>
      <w:szCs w:val="24"/>
    </w:rPr>
  </w:style>
  <w:style w:type="paragraph" w:customStyle="1" w:styleId="17">
    <w:name w:val="Char 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三级无"/>
    <w:basedOn w:val="1"/>
    <w:qFormat/>
    <w:uiPriority w:val="0"/>
    <w:pPr>
      <w:widowControl/>
      <w:spacing w:before="50" w:after="50"/>
      <w:jc w:val="left"/>
      <w:outlineLvl w:val="4"/>
    </w:pPr>
    <w:rPr>
      <w:rFonts w:ascii="宋体"/>
      <w:kern w:val="0"/>
      <w:szCs w:val="21"/>
    </w:rPr>
  </w:style>
  <w:style w:type="paragraph" w:customStyle="1" w:styleId="19">
    <w:name w:val="二级条标题"/>
    <w:basedOn w:val="1"/>
    <w:next w:val="20"/>
    <w:qFormat/>
    <w:uiPriority w:val="0"/>
    <w:pPr>
      <w:widowControl/>
      <w:spacing w:beforeLines="50" w:afterLines="50"/>
      <w:jc w:val="left"/>
      <w:outlineLvl w:val="3"/>
    </w:pPr>
    <w:rPr>
      <w:rFonts w:ascii="黑体" w:eastAsia="黑体"/>
      <w:kern w:val="0"/>
      <w:szCs w:val="21"/>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22">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1072</Words>
  <Characters>6117</Characters>
  <Lines>50</Lines>
  <Paragraphs>14</Paragraphs>
  <TotalTime>28</TotalTime>
  <ScaleCrop>false</ScaleCrop>
  <LinksUpToDate>false</LinksUpToDate>
  <CharactersWithSpaces>7175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2021-04-26T19:31:00Z</dcterms:created>
  <dc:creator>Chinese User</dc:creator>
  <cp:lastModifiedBy>uos</cp:lastModifiedBy>
  <cp:lastPrinted>2021-10-23T18:26:00Z</cp:lastPrinted>
  <dcterms:modified xsi:type="dcterms:W3CDTF">2024-08-15T17:29:34Z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