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_GB2312" w:hAnsi="方正小标宋简体" w:eastAsia="仿宋_GB2312" w:cs="方正小标宋简体"/>
          <w:spacing w:val="20"/>
          <w:sz w:val="10"/>
          <w:szCs w:val="10"/>
        </w:rPr>
      </w:pPr>
      <w:r>
        <w:rPr>
          <w:rFonts w:ascii="仿宋_GB2312" w:hAnsi="仿宋_GB2312" w:eastAsia="仿宋_GB2312" w:cs="仿宋_GB2312"/>
          <w:sz w:val="24"/>
          <w:szCs w:val="24"/>
        </w:rPr>
        <w:drawing>
          <wp:inline distT="0" distB="0" distL="0" distR="0">
            <wp:extent cx="2095500" cy="428625"/>
            <wp:effectExtent l="0" t="0" r="0" b="9525"/>
            <wp:docPr id="2" name="Picture 2" descr="Generated"/>
            <wp:cNvGraphicFramePr/>
            <a:graphic xmlns:a="http://schemas.openxmlformats.org/drawingml/2006/main">
              <a:graphicData uri="http://schemas.openxmlformats.org/drawingml/2006/picture">
                <pic:pic xmlns:pic="http://schemas.openxmlformats.org/drawingml/2006/picture">
                  <pic:nvPicPr>
                    <pic:cNvPr id="2" name="Picture 2" descr="Generated"/>
                    <pic:cNvPicPr/>
                  </pic:nvPicPr>
                  <pic:blipFill>
                    <a:blip r:embed="rId4"/>
                    <a:stretch>
                      <a:fillRect/>
                    </a:stretch>
                  </pic:blipFill>
                  <pic:spPr>
                    <a:xfrm>
                      <a:off x="0" y="0"/>
                      <a:ext cx="2095500" cy="428625"/>
                    </a:xfrm>
                    <a:prstGeom prst="rect">
                      <a:avLst/>
                    </a:prstGeom>
                  </pic:spPr>
                </pic:pic>
              </a:graphicData>
            </a:graphic>
          </wp:inline>
        </w:drawing>
      </w:r>
    </w:p>
    <w:p>
      <w:pPr>
        <w:spacing w:line="660" w:lineRule="exact"/>
        <w:jc w:val="center"/>
        <w:rPr>
          <w:rFonts w:ascii="方正小标宋简体" w:hAnsi="方正小标宋简体" w:eastAsia="方正小标宋简体" w:cs="方正小标宋简体"/>
          <w:spacing w:val="20"/>
          <w:sz w:val="36"/>
          <w:szCs w:val="36"/>
        </w:rPr>
      </w:pPr>
      <w:r>
        <w:rPr>
          <w:rFonts w:ascii="方正小标宋简体" w:hAnsi="方正小标宋简体" w:eastAsia="方正小标宋简体" w:cs="方正小标宋简体"/>
          <w:spacing w:val="20"/>
          <w:sz w:val="36"/>
          <w:szCs w:val="36"/>
        </w:rPr>
        <w:t>东莞市</w:t>
      </w:r>
      <w:r>
        <w:rPr>
          <w:rFonts w:hint="eastAsia" w:ascii="方正小标宋简体" w:hAnsi="方正小标宋简体" w:eastAsia="方正小标宋简体" w:cs="方正小标宋简体"/>
          <w:spacing w:val="20"/>
          <w:sz w:val="36"/>
          <w:szCs w:val="36"/>
        </w:rPr>
        <w:t>营业性演出准予</w:t>
      </w:r>
      <w:r>
        <w:rPr>
          <w:rFonts w:hint="eastAsia" w:ascii="方正小标宋简体" w:hAnsi="方正小标宋简体" w:eastAsia="方正小标宋简体" w:cs="方正小标宋简体"/>
          <w:color w:val="000000"/>
          <w:spacing w:val="20"/>
          <w:sz w:val="36"/>
          <w:szCs w:val="36"/>
        </w:rPr>
        <w:t>许可</w:t>
      </w:r>
      <w:r>
        <w:rPr>
          <w:rFonts w:hint="eastAsia" w:ascii="方正小标宋简体" w:hAnsi="方正小标宋简体" w:eastAsia="方正小标宋简体" w:cs="方正小标宋简体"/>
          <w:spacing w:val="20"/>
          <w:sz w:val="36"/>
          <w:szCs w:val="36"/>
        </w:rPr>
        <w:t>决定</w:t>
      </w:r>
    </w:p>
    <w:p>
      <w:pPr>
        <w:wordWrap w:val="0"/>
        <w:spacing w:line="360" w:lineRule="auto"/>
        <w:jc w:val="right"/>
        <w:rPr>
          <w:rFonts w:ascii="仿宋_GB2312" w:hAnsi="仿宋_GB2312" w:eastAsia="仿宋_GB2312" w:cs="仿宋_GB2312"/>
          <w:sz w:val="24"/>
          <w:szCs w:val="24"/>
        </w:rPr>
      </w:pPr>
      <w:r>
        <w:rPr>
          <w:rFonts w:ascii="仿宋_GB2312" w:hAnsi="仿宋_GB2312" w:eastAsia="仿宋_GB2312" w:cs="仿宋_GB2312"/>
          <w:sz w:val="24"/>
          <w:szCs w:val="24"/>
        </w:rPr>
        <w:t>441900522023000027</w:t>
      </w:r>
    </w:p>
    <w:tbl>
      <w:tblPr>
        <w:tblStyle w:val="4"/>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4253"/>
        <w:gridCol w:w="1276"/>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许可/备案事项</w:t>
            </w:r>
          </w:p>
        </w:tc>
        <w:tc>
          <w:tcPr>
            <w:tcW w:w="6662" w:type="dxa"/>
            <w:gridSpan w:val="3"/>
            <w:vAlign w:val="center"/>
          </w:tcPr>
          <w:p>
            <w:pPr>
              <w:spacing w:line="360" w:lineRule="auto"/>
              <w:jc w:val="center"/>
              <w:rPr>
                <w:rFonts w:ascii="仿宋_GB2312" w:eastAsia="仿宋_GB2312"/>
                <w:sz w:val="24"/>
                <w:szCs w:val="24"/>
              </w:rPr>
            </w:pPr>
            <w:r>
              <w:rPr>
                <w:rFonts w:ascii="仿宋_GB2312" w:hAnsi="仿宋_GB2312" w:eastAsia="仿宋_GB2312" w:cs="仿宋_GB2312"/>
                <w:sz w:val="24"/>
                <w:szCs w:val="24"/>
              </w:rPr>
              <w:t>涉外营业性演出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演出名称</w:t>
            </w:r>
          </w:p>
        </w:tc>
        <w:tc>
          <w:tcPr>
            <w:tcW w:w="6662" w:type="dxa"/>
            <w:gridSpan w:val="3"/>
            <w:vAlign w:val="center"/>
          </w:tcPr>
          <w:p>
            <w:pPr>
              <w:spacing w:line="360" w:lineRule="auto"/>
              <w:jc w:val="center"/>
              <w:rPr>
                <w:rFonts w:ascii="仿宋_GB2312" w:hAnsi="仿宋_GB2312" w:eastAsia="仿宋_GB2312" w:cs="仿宋_GB2312"/>
                <w:sz w:val="24"/>
                <w:szCs w:val="24"/>
              </w:rPr>
            </w:pPr>
            <w:r>
              <w:rPr>
                <w:rFonts w:ascii="仿宋_GB2312" w:hAnsi="仿宋_GB2312" w:eastAsia="仿宋_GB2312" w:cs="仿宋_GB2312"/>
                <w:sz w:val="24"/>
                <w:szCs w:val="24"/>
              </w:rPr>
              <w:t>传统杂技专场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举办单位</w:t>
            </w:r>
          </w:p>
        </w:tc>
        <w:tc>
          <w:tcPr>
            <w:tcW w:w="6662" w:type="dxa"/>
            <w:gridSpan w:val="3"/>
            <w:vAlign w:val="center"/>
          </w:tcPr>
          <w:p>
            <w:pPr>
              <w:spacing w:line="360" w:lineRule="auto"/>
              <w:jc w:val="center"/>
              <w:rPr>
                <w:rFonts w:ascii="仿宋_GB2312" w:hAnsi="仿宋_GB2312" w:eastAsia="仿宋_GB2312" w:cs="仿宋_GB2312"/>
                <w:sz w:val="24"/>
                <w:szCs w:val="24"/>
              </w:rPr>
            </w:pPr>
            <w:r>
              <w:rPr>
                <w:rFonts w:ascii="仿宋_GB2312" w:hAnsi="仿宋_GB2312" w:eastAsia="仿宋_GB2312" w:cs="仿宋_GB2312"/>
                <w:sz w:val="24"/>
                <w:szCs w:val="24"/>
              </w:rPr>
              <w:t>天合华秀国际文化传媒（北京）有限公司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263"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证号</w:t>
            </w:r>
          </w:p>
        </w:tc>
        <w:tc>
          <w:tcPr>
            <w:tcW w:w="6662" w:type="dxa"/>
            <w:gridSpan w:val="3"/>
            <w:vAlign w:val="center"/>
          </w:tcPr>
          <w:p>
            <w:pPr>
              <w:spacing w:line="360" w:lineRule="auto"/>
              <w:jc w:val="center"/>
              <w:rPr>
                <w:rFonts w:ascii="仿宋_GB2312" w:hAnsi="仿宋_GB2312" w:eastAsia="仿宋_GB2312" w:cs="仿宋_GB2312"/>
                <w:sz w:val="24"/>
                <w:szCs w:val="24"/>
              </w:rPr>
            </w:pPr>
            <w:r>
              <w:rPr>
                <w:rFonts w:ascii="仿宋_GB2312" w:hAnsi="仿宋_GB2312" w:eastAsia="仿宋_GB2312" w:cs="仿宋_GB2312"/>
                <w:sz w:val="24"/>
                <w:szCs w:val="24"/>
              </w:rPr>
              <w:t>京演（机构）〔2015〕2392号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演员人数</w:t>
            </w:r>
          </w:p>
        </w:tc>
        <w:tc>
          <w:tcPr>
            <w:tcW w:w="6662" w:type="dxa"/>
            <w:gridSpan w:val="3"/>
            <w:vAlign w:val="center"/>
          </w:tcPr>
          <w:p>
            <w:pPr>
              <w:spacing w:line="360" w:lineRule="auto"/>
              <w:jc w:val="center"/>
              <w:rPr>
                <w:rFonts w:ascii="仿宋_GB2312" w:hAnsi="仿宋_GB2312" w:eastAsia="仿宋_GB2312" w:cs="仿宋_GB2312"/>
                <w:spacing w:val="-8"/>
                <w:sz w:val="24"/>
                <w:szCs w:val="24"/>
              </w:rPr>
            </w:pPr>
            <w:r>
              <w:rPr>
                <w:rFonts w:ascii="仿宋_GB2312" w:hAnsi="仿宋_GB2312" w:eastAsia="仿宋_GB2312" w:cs="仿宋_GB2312"/>
                <w:sz w:val="24"/>
                <w:szCs w:val="24"/>
              </w:rPr>
              <w:t>6</w:t>
            </w:r>
            <w:r>
              <w:rPr>
                <w:rFonts w:hint="eastAsia" w:ascii="仿宋_GB2312" w:hAnsi="仿宋_GB2312" w:eastAsia="仿宋_GB2312" w:cs="仿宋_GB2312"/>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入境停留日期</w:t>
            </w:r>
          </w:p>
        </w:tc>
        <w:tc>
          <w:tcPr>
            <w:tcW w:w="6662" w:type="dxa"/>
            <w:gridSpan w:val="3"/>
            <w:vAlign w:val="center"/>
          </w:tcPr>
          <w:p>
            <w:pPr>
              <w:spacing w:line="360" w:lineRule="auto"/>
              <w:jc w:val="center"/>
              <w:rPr>
                <w:rFonts w:ascii="仿宋_GB2312" w:hAnsi="仿宋_GB2312" w:eastAsia="仿宋_GB2312" w:cs="仿宋_GB2312"/>
                <w:sz w:val="24"/>
                <w:szCs w:val="24"/>
              </w:rPr>
            </w:pPr>
            <w:r>
              <w:rPr>
                <w:rFonts w:ascii="仿宋_GB2312" w:eastAsia="仿宋_GB2312"/>
                <w:sz w:val="24"/>
                <w:szCs w:val="24"/>
              </w:rPr>
              <w:t>2023-07-01</w:t>
            </w:r>
            <w:r>
              <w:rPr>
                <w:rFonts w:hint="eastAsia" w:ascii="仿宋_GB2312" w:eastAsia="仿宋_GB2312"/>
                <w:sz w:val="24"/>
                <w:szCs w:val="24"/>
              </w:rPr>
              <w:t>至</w:t>
            </w:r>
            <w:r>
              <w:rPr>
                <w:rFonts w:ascii="仿宋_GB2312" w:eastAsia="仿宋_GB2312"/>
                <w:sz w:val="24"/>
                <w:szCs w:val="24"/>
              </w:rPr>
              <w:t>2023-12-27</w:t>
            </w:r>
            <w:r>
              <w:rPr>
                <w:rFonts w:hint="eastAsia" w:ascii="仿宋_GB2312" w:eastAsia="仿宋_GB2312"/>
                <w:sz w:val="24"/>
                <w:szCs w:val="24"/>
              </w:rPr>
              <w:t>共</w:t>
            </w:r>
            <w:r>
              <w:rPr>
                <w:rFonts w:ascii="仿宋_GB2312" w:eastAsia="仿宋_GB2312"/>
                <w:sz w:val="24"/>
                <w:szCs w:val="24"/>
              </w:rPr>
              <w:t>179</w:t>
            </w:r>
            <w:r>
              <w:rPr>
                <w:rFonts w:hint="eastAsia" w:ascii="仿宋_GB2312" w:eastAsia="仿宋_GB2312"/>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16" w:type="dxa"/>
            <w:gridSpan w:val="2"/>
            <w:vAlign w:val="center"/>
          </w:tcPr>
          <w:p>
            <w:pPr>
              <w:spacing w:line="360" w:lineRule="auto"/>
              <w:jc w:val="center"/>
              <w:rPr>
                <w:rFonts w:ascii="仿宋_GB2312" w:eastAsia="仿宋_GB2312"/>
                <w:sz w:val="24"/>
                <w:szCs w:val="24"/>
              </w:rPr>
            </w:pPr>
            <w:r>
              <w:rPr>
                <w:rFonts w:hint="eastAsia" w:ascii="仿宋_GB2312" w:eastAsia="仿宋_GB2312"/>
                <w:sz w:val="24"/>
                <w:szCs w:val="24"/>
              </w:rPr>
              <w:t>是否属于或含外国人在中国短期工作任务</w:t>
            </w:r>
          </w:p>
        </w:tc>
        <w:tc>
          <w:tcPr>
            <w:tcW w:w="2409" w:type="dxa"/>
            <w:gridSpan w:val="2"/>
            <w:vAlign w:val="center"/>
          </w:tcPr>
          <w:p>
            <w:pPr>
              <w:spacing w:line="360" w:lineRule="auto"/>
              <w:jc w:val="center"/>
              <w:rPr>
                <w:rFonts w:ascii="仿宋_GB2312" w:eastAsia="仿宋_GB2312"/>
                <w:sz w:val="24"/>
                <w:szCs w:val="24"/>
              </w:rPr>
            </w:pPr>
            <w:r>
              <w:rPr>
                <w:rFonts w:ascii="仿宋_GB2312" w:eastAsia="仿宋_GB2312"/>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263"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本地演出日期</w:t>
            </w:r>
          </w:p>
        </w:tc>
        <w:tc>
          <w:tcPr>
            <w:tcW w:w="6662" w:type="dxa"/>
            <w:gridSpan w:val="3"/>
            <w:vAlign w:val="center"/>
          </w:tcPr>
          <w:p>
            <w:pPr>
              <w:spacing w:line="360" w:lineRule="auto"/>
              <w:jc w:val="center"/>
              <w:rPr>
                <w:rFonts w:ascii="仿宋_GB2312" w:hAnsi="仿宋_GB2312" w:eastAsia="仿宋_GB2312" w:cs="仿宋_GB2312"/>
                <w:sz w:val="24"/>
                <w:szCs w:val="24"/>
              </w:rPr>
            </w:pPr>
            <w:r>
              <w:rPr>
                <w:rFonts w:ascii="仿宋_GB2312" w:hAnsi="仿宋_GB2312" w:eastAsia="仿宋_GB2312" w:cs="仿宋_GB2312"/>
                <w:sz w:val="24"/>
                <w:szCs w:val="24"/>
              </w:rPr>
              <w:t>2023-07-01</w:t>
            </w:r>
            <w:r>
              <w:rPr>
                <w:rFonts w:hint="eastAsia" w:ascii="仿宋_GB2312" w:hAnsi="仿宋_GB2312" w:eastAsia="仿宋_GB2312" w:cs="仿宋_GB2312"/>
                <w:sz w:val="24"/>
                <w:szCs w:val="24"/>
              </w:rPr>
              <w:t>至</w:t>
            </w:r>
            <w:r>
              <w:rPr>
                <w:rFonts w:ascii="仿宋_GB2312" w:hAnsi="仿宋_GB2312" w:eastAsia="仿宋_GB2312" w:cs="仿宋_GB2312"/>
                <w:sz w:val="24"/>
                <w:szCs w:val="24"/>
              </w:rPr>
              <w:t>2023-12-27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63" w:type="dxa"/>
            <w:vAlign w:val="center"/>
          </w:tcPr>
          <w:p>
            <w:pPr>
              <w:spacing w:line="360" w:lineRule="auto"/>
              <w:jc w:val="center"/>
              <w:rPr>
                <w:rFonts w:ascii="仿宋_GB2312" w:hAnsi="仿宋_GB2312" w:eastAsia="仿宋_GB2312" w:cs="仿宋_GB2312"/>
                <w:sz w:val="24"/>
                <w:szCs w:val="24"/>
              </w:rPr>
            </w:pPr>
            <w:r>
              <w:rPr>
                <w:rFonts w:ascii="仿宋_GB2312" w:hAnsi="仿宋_GB2312" w:eastAsia="仿宋_GB2312" w:cs="仿宋_GB2312"/>
                <w:sz w:val="24"/>
                <w:szCs w:val="24"/>
              </w:rPr>
              <w:t>演出场所</w:t>
            </w:r>
          </w:p>
        </w:tc>
        <w:tc>
          <w:tcPr>
            <w:tcW w:w="4253" w:type="dxa"/>
            <w:vAlign w:val="center"/>
          </w:tcPr>
          <w:p>
            <w:pPr>
              <w:spacing w:line="360" w:lineRule="auto"/>
              <w:jc w:val="center"/>
              <w:rPr>
                <w:rFonts w:ascii="仿宋_GB2312" w:hAnsi="仿宋_GB2312" w:eastAsia="仿宋_GB2312" w:cs="仿宋_GB2312"/>
                <w:sz w:val="24"/>
                <w:szCs w:val="24"/>
              </w:rPr>
            </w:pPr>
            <w:r>
              <w:rPr>
                <w:rFonts w:ascii="仿宋_GB2312" w:hAnsi="仿宋_GB2312" w:eastAsia="仿宋_GB2312" w:cs="仿宋_GB2312"/>
                <w:sz w:val="24"/>
                <w:szCs w:val="24"/>
              </w:rPr>
              <w:t>广东省东莞市寮步镇药勒村东莞市御野世界实业投资有限公司香市动物园内468平方米表演场</w:t>
            </w:r>
          </w:p>
        </w:tc>
        <w:tc>
          <w:tcPr>
            <w:tcW w:w="1276" w:type="dxa"/>
            <w:vAlign w:val="center"/>
          </w:tcPr>
          <w:p>
            <w:pPr>
              <w:spacing w:line="360" w:lineRule="auto"/>
              <w:jc w:val="center"/>
              <w:rPr>
                <w:rFonts w:ascii="仿宋_GB2312" w:hAnsi="仿宋_GB2312" w:eastAsia="仿宋_GB2312" w:cs="仿宋_GB2312"/>
                <w:sz w:val="24"/>
                <w:szCs w:val="24"/>
              </w:rPr>
            </w:pPr>
            <w:r>
              <w:rPr>
                <w:rFonts w:ascii="仿宋_GB2312" w:hAnsi="仿宋_GB2312" w:eastAsia="仿宋_GB2312" w:cs="仿宋_GB2312"/>
                <w:sz w:val="24"/>
                <w:szCs w:val="24"/>
              </w:rPr>
              <w:t>演出场次</w:t>
            </w:r>
          </w:p>
        </w:tc>
        <w:tc>
          <w:tcPr>
            <w:tcW w:w="1133" w:type="dxa"/>
            <w:vAlign w:val="center"/>
          </w:tcPr>
          <w:p>
            <w:pPr>
              <w:spacing w:line="360" w:lineRule="auto"/>
              <w:jc w:val="center"/>
              <w:rPr>
                <w:rFonts w:ascii="仿宋_GB2312" w:hAnsi="仿宋_GB2312" w:eastAsia="仿宋_GB2312" w:cs="仿宋_GB2312"/>
                <w:sz w:val="24"/>
                <w:szCs w:val="24"/>
              </w:rPr>
            </w:pPr>
            <w:r>
              <w:rPr>
                <w:rFonts w:ascii="仿宋_GB2312" w:hAnsi="仿宋_GB2312" w:eastAsia="仿宋_GB2312" w:cs="仿宋_GB2312"/>
                <w:sz w:val="24"/>
                <w:szCs w:val="24"/>
              </w:rPr>
              <w:t>360（场）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vAlign w:val="center"/>
          </w:tcPr>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备注</w:t>
            </w:r>
          </w:p>
        </w:tc>
        <w:tc>
          <w:tcPr>
            <w:tcW w:w="6662" w:type="dxa"/>
            <w:gridSpan w:val="3"/>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1.举办临时搭建舞台、看台的营业性演出，演出举办单位应于演出前提交演出场所合格证明。</w:t>
            </w:r>
          </w:p>
          <w:p>
            <w:pPr>
              <w:spacing w:line="36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2.属于大型群众性活动的演出，在取得公安部门大型活动安全许可后方可举办。</w:t>
            </w:r>
          </w:p>
        </w:tc>
      </w:tr>
    </w:tbl>
    <w:p>
      <w:pPr>
        <w:ind w:left="480" w:hanging="480" w:hangingChars="200"/>
        <w:jc w:val="left"/>
        <w:rPr>
          <w:rFonts w:ascii="仿宋" w:hAnsi="仿宋" w:eastAsia="仿宋"/>
          <w:sz w:val="24"/>
          <w:szCs w:val="24"/>
        </w:rPr>
      </w:pPr>
    </w:p>
    <w:p>
      <w:pPr>
        <w:ind w:right="315" w:rightChars="150"/>
        <w:jc w:val="right"/>
        <w:rPr>
          <w:rFonts w:hint="eastAsia" w:ascii="仿宋_GB2312" w:hAnsi="仿宋" w:eastAsia="仿宋_GB2312"/>
          <w:sz w:val="24"/>
          <w:szCs w:val="24"/>
          <w:lang w:eastAsia="zh-CN"/>
        </w:rPr>
      </w:pPr>
      <w:r>
        <w:rPr>
          <w:rFonts w:ascii="仿宋_GB2312" w:hAnsi="仿宋" w:eastAsia="仿宋_GB2312"/>
          <w:sz w:val="24"/>
          <w:szCs w:val="24"/>
        </w:rPr>
        <w:t xml:space="preserve"> 东莞市</w:t>
      </w:r>
      <w:r>
        <w:rPr>
          <w:rFonts w:hint="eastAsia" w:ascii="仿宋_GB2312" w:hAnsi="仿宋" w:eastAsia="仿宋_GB2312"/>
          <w:sz w:val="24"/>
          <w:szCs w:val="24"/>
          <w:lang w:eastAsia="zh-CN"/>
        </w:rPr>
        <w:t>文化广电旅游体育局</w:t>
      </w:r>
    </w:p>
    <w:p>
      <w:pPr>
        <w:ind w:right="420" w:rightChars="200"/>
        <w:jc w:val="center"/>
        <w:rPr>
          <w:rFonts w:hint="eastAsia" w:ascii="仿宋_GB2312" w:hAnsi="仿宋" w:eastAsia="仿宋_GB2312"/>
          <w:sz w:val="24"/>
          <w:szCs w:val="24"/>
          <w:lang w:eastAsia="zh-CN"/>
        </w:rPr>
      </w:pPr>
      <w:r>
        <w:rPr>
          <w:rFonts w:hint="eastAsia" w:ascii="仿宋_GB2312" w:hAnsi="仿宋" w:eastAsia="仿宋_GB2312"/>
          <w:sz w:val="24"/>
          <w:szCs w:val="24"/>
          <w:lang w:val="en-US" w:eastAsia="zh-CN"/>
        </w:rPr>
        <w:t xml:space="preserve">                                             </w:t>
      </w:r>
      <w:r>
        <w:rPr>
          <w:rFonts w:ascii="仿宋_GB2312" w:hAnsi="仿宋" w:eastAsia="仿宋_GB2312"/>
          <w:sz w:val="24"/>
          <w:szCs w:val="24"/>
        </w:rPr>
        <w:t>2023</w:t>
      </w:r>
      <w:r>
        <w:rPr>
          <w:rFonts w:hint="eastAsia" w:ascii="仿宋_GB2312" w:hAnsi="仿宋" w:eastAsia="仿宋_GB2312"/>
          <w:sz w:val="24"/>
          <w:szCs w:val="24"/>
          <w:lang w:eastAsia="zh-CN"/>
        </w:rPr>
        <w:t>年</w:t>
      </w:r>
      <w:r>
        <w:rPr>
          <w:rFonts w:ascii="仿宋_GB2312" w:hAnsi="仿宋" w:eastAsia="仿宋_GB2312"/>
          <w:sz w:val="24"/>
          <w:szCs w:val="24"/>
        </w:rPr>
        <w:t>5</w:t>
      </w:r>
      <w:r>
        <w:rPr>
          <w:rFonts w:hint="eastAsia" w:ascii="仿宋_GB2312" w:hAnsi="仿宋" w:eastAsia="仿宋_GB2312"/>
          <w:sz w:val="24"/>
          <w:szCs w:val="24"/>
          <w:lang w:eastAsia="zh-CN"/>
        </w:rPr>
        <w:t>月</w:t>
      </w:r>
      <w:r>
        <w:rPr>
          <w:rFonts w:ascii="仿宋_GB2312" w:hAnsi="仿宋" w:eastAsia="仿宋_GB2312"/>
          <w:sz w:val="24"/>
          <w:szCs w:val="24"/>
        </w:rPr>
        <w:t>22</w:t>
      </w:r>
      <w:r>
        <w:rPr>
          <w:rFonts w:hint="eastAsia" w:ascii="仿宋_GB2312" w:hAnsi="仿宋" w:eastAsia="仿宋_GB2312"/>
          <w:sz w:val="24"/>
          <w:szCs w:val="24"/>
          <w:lang w:eastAsia="zh-CN"/>
        </w:rPr>
        <w:t>日</w:t>
      </w:r>
    </w:p>
    <w:p>
      <w:pPr>
        <w:ind w:right="420" w:rightChars="200"/>
        <w:jc w:val="both"/>
        <w:rPr>
          <w:rFonts w:hint="eastAsia" w:ascii="仿宋_GB2312" w:hAnsi="仿宋" w:eastAsia="仿宋_GB2312"/>
          <w:sz w:val="24"/>
          <w:szCs w:val="24"/>
          <w:lang w:eastAsia="zh-CN"/>
        </w:rPr>
        <w:sectPr>
          <w:pgSz w:w="11906" w:h="16838"/>
          <w:pgMar w:top="1134" w:right="1797" w:bottom="1134" w:left="1797" w:header="851" w:footer="992" w:gutter="0"/>
          <w:cols w:space="720" w:num="1"/>
          <w:docGrid w:type="lines" w:linePitch="332" w:charSpace="0"/>
        </w:sect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6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516"/>
    <w:rsid w:val="00015974"/>
    <w:rsid w:val="00025B38"/>
    <w:rsid w:val="00073E9F"/>
    <w:rsid w:val="000D6656"/>
    <w:rsid w:val="000E6906"/>
    <w:rsid w:val="00112563"/>
    <w:rsid w:val="00124F88"/>
    <w:rsid w:val="00162490"/>
    <w:rsid w:val="00164013"/>
    <w:rsid w:val="0016678D"/>
    <w:rsid w:val="00167A9F"/>
    <w:rsid w:val="001703A6"/>
    <w:rsid w:val="00172A27"/>
    <w:rsid w:val="00183562"/>
    <w:rsid w:val="00184572"/>
    <w:rsid w:val="00190136"/>
    <w:rsid w:val="001B2563"/>
    <w:rsid w:val="001C72A4"/>
    <w:rsid w:val="001D33FF"/>
    <w:rsid w:val="001D6792"/>
    <w:rsid w:val="001E2CF9"/>
    <w:rsid w:val="001F1451"/>
    <w:rsid w:val="00216572"/>
    <w:rsid w:val="00223BDF"/>
    <w:rsid w:val="00224A7F"/>
    <w:rsid w:val="0022517B"/>
    <w:rsid w:val="00231E81"/>
    <w:rsid w:val="002512D5"/>
    <w:rsid w:val="00254E89"/>
    <w:rsid w:val="002725E9"/>
    <w:rsid w:val="00274512"/>
    <w:rsid w:val="00284472"/>
    <w:rsid w:val="002A4DF0"/>
    <w:rsid w:val="002B0AC3"/>
    <w:rsid w:val="002B215F"/>
    <w:rsid w:val="002B5DB7"/>
    <w:rsid w:val="002C147D"/>
    <w:rsid w:val="002C1699"/>
    <w:rsid w:val="002D449F"/>
    <w:rsid w:val="002F6BFA"/>
    <w:rsid w:val="0034084C"/>
    <w:rsid w:val="00354198"/>
    <w:rsid w:val="00356273"/>
    <w:rsid w:val="00377E5B"/>
    <w:rsid w:val="00380769"/>
    <w:rsid w:val="00384C0F"/>
    <w:rsid w:val="00391BFA"/>
    <w:rsid w:val="003921D6"/>
    <w:rsid w:val="003A5DDC"/>
    <w:rsid w:val="003A6631"/>
    <w:rsid w:val="003B4011"/>
    <w:rsid w:val="003C05B2"/>
    <w:rsid w:val="003E7577"/>
    <w:rsid w:val="003F5C9D"/>
    <w:rsid w:val="004015C8"/>
    <w:rsid w:val="00402948"/>
    <w:rsid w:val="00411C78"/>
    <w:rsid w:val="004247C5"/>
    <w:rsid w:val="00431562"/>
    <w:rsid w:val="00432777"/>
    <w:rsid w:val="00437B6E"/>
    <w:rsid w:val="00496138"/>
    <w:rsid w:val="004A5DDB"/>
    <w:rsid w:val="004E6D97"/>
    <w:rsid w:val="004F4C45"/>
    <w:rsid w:val="00500986"/>
    <w:rsid w:val="00525DB1"/>
    <w:rsid w:val="00531133"/>
    <w:rsid w:val="005339BD"/>
    <w:rsid w:val="00540D96"/>
    <w:rsid w:val="0055738D"/>
    <w:rsid w:val="00574802"/>
    <w:rsid w:val="0059207E"/>
    <w:rsid w:val="005A0362"/>
    <w:rsid w:val="005A1B0D"/>
    <w:rsid w:val="005A1BFD"/>
    <w:rsid w:val="005B1E67"/>
    <w:rsid w:val="005D1418"/>
    <w:rsid w:val="005E16B8"/>
    <w:rsid w:val="005E494A"/>
    <w:rsid w:val="00602143"/>
    <w:rsid w:val="00613E70"/>
    <w:rsid w:val="00622A5F"/>
    <w:rsid w:val="00631B05"/>
    <w:rsid w:val="00652D12"/>
    <w:rsid w:val="00664C9C"/>
    <w:rsid w:val="006663E8"/>
    <w:rsid w:val="00681894"/>
    <w:rsid w:val="006824C1"/>
    <w:rsid w:val="00684AD2"/>
    <w:rsid w:val="0069535C"/>
    <w:rsid w:val="006B54B3"/>
    <w:rsid w:val="006D22D6"/>
    <w:rsid w:val="006D770B"/>
    <w:rsid w:val="006D7E97"/>
    <w:rsid w:val="006E1FB8"/>
    <w:rsid w:val="00710C30"/>
    <w:rsid w:val="00713CC1"/>
    <w:rsid w:val="00733756"/>
    <w:rsid w:val="00747925"/>
    <w:rsid w:val="00750D64"/>
    <w:rsid w:val="007671AF"/>
    <w:rsid w:val="007705F1"/>
    <w:rsid w:val="00773328"/>
    <w:rsid w:val="00774D2F"/>
    <w:rsid w:val="007867AA"/>
    <w:rsid w:val="00794E32"/>
    <w:rsid w:val="007A34DF"/>
    <w:rsid w:val="007B53FD"/>
    <w:rsid w:val="007E1B36"/>
    <w:rsid w:val="007F2490"/>
    <w:rsid w:val="0080131C"/>
    <w:rsid w:val="00820453"/>
    <w:rsid w:val="00830D5B"/>
    <w:rsid w:val="00876F0F"/>
    <w:rsid w:val="008A0F7C"/>
    <w:rsid w:val="008A45C2"/>
    <w:rsid w:val="008B0205"/>
    <w:rsid w:val="008F1D65"/>
    <w:rsid w:val="008F1EFF"/>
    <w:rsid w:val="00933FDE"/>
    <w:rsid w:val="009713FF"/>
    <w:rsid w:val="009A2EC7"/>
    <w:rsid w:val="009A4714"/>
    <w:rsid w:val="009B5199"/>
    <w:rsid w:val="009B74BD"/>
    <w:rsid w:val="009D4153"/>
    <w:rsid w:val="009E1CE1"/>
    <w:rsid w:val="00A1613D"/>
    <w:rsid w:val="00A349C6"/>
    <w:rsid w:val="00A35354"/>
    <w:rsid w:val="00A41AA2"/>
    <w:rsid w:val="00A557B5"/>
    <w:rsid w:val="00A60713"/>
    <w:rsid w:val="00A647A2"/>
    <w:rsid w:val="00AB6DDA"/>
    <w:rsid w:val="00AB7D1B"/>
    <w:rsid w:val="00AE2E8C"/>
    <w:rsid w:val="00B10550"/>
    <w:rsid w:val="00B10A85"/>
    <w:rsid w:val="00B12BAC"/>
    <w:rsid w:val="00B209F2"/>
    <w:rsid w:val="00B26298"/>
    <w:rsid w:val="00B3133E"/>
    <w:rsid w:val="00B32F1F"/>
    <w:rsid w:val="00B6450F"/>
    <w:rsid w:val="00B723DE"/>
    <w:rsid w:val="00B80700"/>
    <w:rsid w:val="00B97562"/>
    <w:rsid w:val="00BC0C26"/>
    <w:rsid w:val="00C32C27"/>
    <w:rsid w:val="00C44A6D"/>
    <w:rsid w:val="00C478FA"/>
    <w:rsid w:val="00C749CE"/>
    <w:rsid w:val="00C83BDC"/>
    <w:rsid w:val="00C958E3"/>
    <w:rsid w:val="00CA0497"/>
    <w:rsid w:val="00CA1C33"/>
    <w:rsid w:val="00D01E96"/>
    <w:rsid w:val="00D23B93"/>
    <w:rsid w:val="00D30C38"/>
    <w:rsid w:val="00D34F3D"/>
    <w:rsid w:val="00D414A2"/>
    <w:rsid w:val="00D452AD"/>
    <w:rsid w:val="00D510AA"/>
    <w:rsid w:val="00D66DD3"/>
    <w:rsid w:val="00DA0436"/>
    <w:rsid w:val="00DA2A64"/>
    <w:rsid w:val="00DD1FC2"/>
    <w:rsid w:val="00DE632F"/>
    <w:rsid w:val="00DF318D"/>
    <w:rsid w:val="00DF5BE0"/>
    <w:rsid w:val="00E00791"/>
    <w:rsid w:val="00E135B0"/>
    <w:rsid w:val="00E14A1E"/>
    <w:rsid w:val="00E17571"/>
    <w:rsid w:val="00E21CCD"/>
    <w:rsid w:val="00E246BB"/>
    <w:rsid w:val="00E37B4D"/>
    <w:rsid w:val="00E5022F"/>
    <w:rsid w:val="00EA1C51"/>
    <w:rsid w:val="00EA5FDB"/>
    <w:rsid w:val="00EC3C82"/>
    <w:rsid w:val="00ED3DA5"/>
    <w:rsid w:val="00EF787B"/>
    <w:rsid w:val="00F14555"/>
    <w:rsid w:val="00F20E7D"/>
    <w:rsid w:val="00F50C28"/>
    <w:rsid w:val="00F51EE6"/>
    <w:rsid w:val="00F75D9F"/>
    <w:rsid w:val="00F80FDD"/>
    <w:rsid w:val="00F94C57"/>
    <w:rsid w:val="00FC67F6"/>
    <w:rsid w:val="00FD7F33"/>
    <w:rsid w:val="00FE0BB8"/>
    <w:rsid w:val="00FF0ACE"/>
    <w:rsid w:val="00FF2D65"/>
    <w:rsid w:val="00FF3462"/>
    <w:rsid w:val="00FF680E"/>
    <w:rsid w:val="05773CBC"/>
    <w:rsid w:val="0AC67A84"/>
    <w:rsid w:val="0B4E50B1"/>
    <w:rsid w:val="10F951F5"/>
    <w:rsid w:val="1CA36708"/>
    <w:rsid w:val="1EFF8F91"/>
    <w:rsid w:val="1FDF7A72"/>
    <w:rsid w:val="23C84FC9"/>
    <w:rsid w:val="25DF5AE2"/>
    <w:rsid w:val="264C3C60"/>
    <w:rsid w:val="282C747C"/>
    <w:rsid w:val="28A56E45"/>
    <w:rsid w:val="2B4152C7"/>
    <w:rsid w:val="2BF6DD72"/>
    <w:rsid w:val="32A31A94"/>
    <w:rsid w:val="335F3754"/>
    <w:rsid w:val="34C61C05"/>
    <w:rsid w:val="35F40295"/>
    <w:rsid w:val="3C692258"/>
    <w:rsid w:val="3D2405DC"/>
    <w:rsid w:val="3DBE4F57"/>
    <w:rsid w:val="431F762D"/>
    <w:rsid w:val="44B961C9"/>
    <w:rsid w:val="45CB20C5"/>
    <w:rsid w:val="4915118D"/>
    <w:rsid w:val="4F0D05C0"/>
    <w:rsid w:val="50F648E0"/>
    <w:rsid w:val="51CD13FB"/>
    <w:rsid w:val="528D0584"/>
    <w:rsid w:val="55BA7FA6"/>
    <w:rsid w:val="5915743E"/>
    <w:rsid w:val="593A4AEF"/>
    <w:rsid w:val="59735F4E"/>
    <w:rsid w:val="5DB836C2"/>
    <w:rsid w:val="5FAB1937"/>
    <w:rsid w:val="62C8307C"/>
    <w:rsid w:val="64615766"/>
    <w:rsid w:val="666B2839"/>
    <w:rsid w:val="672E4C37"/>
    <w:rsid w:val="675B1101"/>
    <w:rsid w:val="67706A60"/>
    <w:rsid w:val="680701C3"/>
    <w:rsid w:val="70FC6E6A"/>
    <w:rsid w:val="717A324C"/>
    <w:rsid w:val="7510189E"/>
    <w:rsid w:val="78F34ECC"/>
    <w:rsid w:val="7B7B73C0"/>
    <w:rsid w:val="7BAC4C12"/>
    <w:rsid w:val="7BFFFFD1"/>
    <w:rsid w:val="7D3A3EEC"/>
    <w:rsid w:val="7EDD600B"/>
    <w:rsid w:val="7F7CDDEC"/>
    <w:rsid w:val="7FDB62A9"/>
    <w:rsid w:val="7FFA63FD"/>
    <w:rsid w:val="7FFF4ACD"/>
    <w:rsid w:val="87DC322E"/>
    <w:rsid w:val="ADF475D5"/>
    <w:rsid w:val="BED94B1B"/>
    <w:rsid w:val="BEF9A3A5"/>
    <w:rsid w:val="CAF7E33F"/>
    <w:rsid w:val="DFBF2E8B"/>
    <w:rsid w:val="EBF61A00"/>
    <w:rsid w:val="ED773F9C"/>
    <w:rsid w:val="F3F98397"/>
    <w:rsid w:val="F5BE376C"/>
    <w:rsid w:val="F7BF2FD9"/>
    <w:rsid w:val="FBF6E2CB"/>
    <w:rsid w:val="FF57CBB8"/>
    <w:rsid w:val="FFF0BF5C"/>
    <w:rsid w:val="FFF521C1"/>
    <w:rsid w:val="FFFBD4DB"/>
    <w:rsid w:val="FFFF2E39"/>
    <w:rsid w:val="FFFFE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120</Words>
  <Characters>689</Characters>
  <Lines>5</Lines>
  <Paragraphs>1</Paragraphs>
  <TotalTime>0</TotalTime>
  <ScaleCrop>false</ScaleCrop>
  <LinksUpToDate>false</LinksUpToDate>
  <CharactersWithSpaces>808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2021-10-04T12:34:00Z</dcterms:created>
  <dc:creator>Administrator</dc:creator>
  <cp:lastModifiedBy>uos</cp:lastModifiedBy>
  <cp:lastPrinted>2023-05-24T05:44:00Z</cp:lastPrinted>
  <dcterms:modified xsi:type="dcterms:W3CDTF">2023-06-25T11:25:03Z</dcterms:modified>
  <dc:title>省份/区县营业性演出准予许可/备案决定</dc:title>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