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东莞市市级政府向社会力量购买服务指导目录（体育类）</w:t>
      </w:r>
    </w:p>
    <w:bookmarkEnd w:id="0"/>
    <w:tbl>
      <w:tblPr>
        <w:tblStyle w:val="2"/>
        <w:tblW w:w="87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77"/>
        <w:gridCol w:w="476"/>
        <w:gridCol w:w="2030"/>
        <w:gridCol w:w="1170"/>
        <w:gridCol w:w="4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基本公共服务事项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公共体育规划和政策研究、宣传服务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公共体育基础设施的管理和维护服务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公共体育资讯收集与统计分析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公共体育运动竞赛组织与实施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政府组织的群众性体育活动的组织与实施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政府组织的体育职业技能培训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政府组织的国民体质测试及指导服务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群众健身科学普及及推广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其他政府委托的体育类服务事项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A36FF"/>
    <w:rsid w:val="5E7A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2022-06-27T03:42:00Z</dcterms:created>
  <dc:creator>莫子钊</dc:creator>
  <cp:lastModifiedBy>莫子钊</cp:lastModifiedBy>
  <dcterms:modified xsi:type="dcterms:W3CDTF">2022-06-27T03:43:46Z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